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DB9A" w14:textId="77777777" w:rsidR="005C0A48" w:rsidRDefault="005C0A48" w:rsidP="005C0A48">
      <w:pPr>
        <w:pStyle w:val="Default"/>
      </w:pPr>
    </w:p>
    <w:p w14:paraId="44D36A5A" w14:textId="51575205" w:rsidR="005C0A48" w:rsidRDefault="00AF7869" w:rsidP="005C0A48">
      <w:pPr>
        <w:pStyle w:val="Heading1"/>
        <w:jc w:val="center"/>
      </w:pPr>
      <w:r>
        <w:t>EPA</w:t>
      </w:r>
      <w:r w:rsidR="00B34918">
        <w:t>/</w:t>
      </w:r>
      <w:r>
        <w:t>ORD/CESER</w:t>
      </w:r>
      <w:r w:rsidR="005C0A48">
        <w:t xml:space="preserve"> </w:t>
      </w:r>
      <w:r w:rsidR="008A2109">
        <w:t>Quality Assurance Memorandum</w:t>
      </w:r>
      <w:r w:rsidR="005C0A48">
        <w:t xml:space="preserve"> </w:t>
      </w:r>
      <w:r w:rsidR="008A2109">
        <w:t xml:space="preserve">for </w:t>
      </w:r>
      <w:r w:rsidR="0001599A">
        <w:t xml:space="preserve">dataset from </w:t>
      </w:r>
      <w:r w:rsidR="00E24346">
        <w:t xml:space="preserve">Bunker Hill sediments microcosm </w:t>
      </w:r>
      <w:r w:rsidR="0001599A">
        <w:t>study</w:t>
      </w:r>
    </w:p>
    <w:p w14:paraId="39E90170" w14:textId="77777777" w:rsidR="00AF7869" w:rsidRDefault="00AF7869" w:rsidP="005C0A48">
      <w:pPr>
        <w:pStyle w:val="Default"/>
        <w:spacing w:after="240"/>
        <w:rPr>
          <w:sz w:val="23"/>
          <w:szCs w:val="23"/>
        </w:rPr>
      </w:pPr>
    </w:p>
    <w:p w14:paraId="07AB62B2" w14:textId="053917B6" w:rsidR="00A37DB0" w:rsidRDefault="008A2109" w:rsidP="005C0A48">
      <w:pPr>
        <w:pStyle w:val="Default"/>
        <w:spacing w:after="240"/>
      </w:pPr>
      <w:r>
        <w:rPr>
          <w:sz w:val="23"/>
          <w:szCs w:val="23"/>
        </w:rPr>
        <w:t>April 1</w:t>
      </w:r>
      <w:r w:rsidR="00E24346">
        <w:rPr>
          <w:sz w:val="23"/>
          <w:szCs w:val="23"/>
        </w:rPr>
        <w:t>6</w:t>
      </w:r>
      <w:r w:rsidR="00B34918">
        <w:rPr>
          <w:sz w:val="23"/>
          <w:szCs w:val="23"/>
        </w:rPr>
        <w:t>, 202</w:t>
      </w:r>
      <w:r>
        <w:rPr>
          <w:sz w:val="23"/>
          <w:szCs w:val="23"/>
        </w:rPr>
        <w:t>5</w:t>
      </w:r>
    </w:p>
    <w:p w14:paraId="54F5FCB0" w14:textId="145E2328" w:rsidR="00A37DB0" w:rsidRDefault="00A37DB0" w:rsidP="00A37D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From: </w:t>
      </w:r>
      <w:r w:rsidR="00B34918">
        <w:rPr>
          <w:sz w:val="23"/>
          <w:szCs w:val="23"/>
        </w:rPr>
        <w:tab/>
      </w:r>
      <w:r w:rsidR="008A2109">
        <w:rPr>
          <w:sz w:val="23"/>
          <w:szCs w:val="23"/>
        </w:rPr>
        <w:t>Anna Wade</w:t>
      </w:r>
      <w:r>
        <w:rPr>
          <w:sz w:val="23"/>
          <w:szCs w:val="23"/>
        </w:rPr>
        <w:t xml:space="preserve"> </w:t>
      </w:r>
    </w:p>
    <w:p w14:paraId="7BEBC459" w14:textId="0E232DD7" w:rsidR="00A37DB0" w:rsidRDefault="00A37DB0" w:rsidP="00B34918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USEPA Office of Research and Development, Center for Environmental Solutions and Emergency Response, Land Remediation and Technology Division</w:t>
      </w:r>
    </w:p>
    <w:p w14:paraId="4626D32D" w14:textId="77777777" w:rsidR="002320F5" w:rsidRDefault="002320F5" w:rsidP="00B34918">
      <w:pPr>
        <w:pStyle w:val="Default"/>
        <w:ind w:left="720"/>
        <w:rPr>
          <w:sz w:val="23"/>
          <w:szCs w:val="23"/>
        </w:rPr>
      </w:pPr>
    </w:p>
    <w:p w14:paraId="05AB9E9D" w14:textId="5BC1BDB1" w:rsidR="002320F5" w:rsidRDefault="002320F5" w:rsidP="00B34918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On behalf of coauthors:</w:t>
      </w:r>
    </w:p>
    <w:p w14:paraId="764EE551" w14:textId="31A2E90C" w:rsidR="002320F5" w:rsidRDefault="002320F5" w:rsidP="00B34918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Todd Luxton</w:t>
      </w:r>
      <w:r w:rsidR="00CB1338">
        <w:rPr>
          <w:sz w:val="23"/>
          <w:szCs w:val="23"/>
        </w:rPr>
        <w:t xml:space="preserve">, Matt Noerpel, Jenny Goetz </w:t>
      </w:r>
    </w:p>
    <w:p w14:paraId="4BC05B69" w14:textId="77777777" w:rsidR="002320F5" w:rsidRDefault="002320F5" w:rsidP="002320F5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USEPA Office of Research and Development, Center for Environmental Solutions and Emergency Response, Land Remediation and Technology Division</w:t>
      </w:r>
    </w:p>
    <w:p w14:paraId="1356BB54" w14:textId="77777777" w:rsidR="002320F5" w:rsidRDefault="002320F5" w:rsidP="00B34918">
      <w:pPr>
        <w:pStyle w:val="Default"/>
        <w:ind w:left="720"/>
        <w:rPr>
          <w:sz w:val="23"/>
          <w:szCs w:val="23"/>
        </w:rPr>
      </w:pPr>
    </w:p>
    <w:p w14:paraId="6A9395BA" w14:textId="0ACF27B6" w:rsidR="002320F5" w:rsidRDefault="002320F5" w:rsidP="00B34918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Mahendra </w:t>
      </w:r>
      <w:r w:rsidR="00CB1338" w:rsidRPr="00CB1338">
        <w:rPr>
          <w:sz w:val="23"/>
          <w:szCs w:val="23"/>
        </w:rPr>
        <w:t>Arambewela</w:t>
      </w:r>
    </w:p>
    <w:p w14:paraId="34639935" w14:textId="39D44466" w:rsidR="00D74632" w:rsidRDefault="00D74632" w:rsidP="00CB1338">
      <w:pPr>
        <w:pStyle w:val="Default"/>
        <w:ind w:left="720"/>
        <w:rPr>
          <w:sz w:val="23"/>
          <w:szCs w:val="23"/>
        </w:rPr>
      </w:pPr>
      <w:r w:rsidRPr="00D74632">
        <w:rPr>
          <w:sz w:val="23"/>
          <w:szCs w:val="23"/>
        </w:rPr>
        <w:t>Pegasus Technical Services Inc. (PTSI)</w:t>
      </w:r>
    </w:p>
    <w:p w14:paraId="624E8916" w14:textId="77777777" w:rsidR="00AF7869" w:rsidRDefault="00AF7869" w:rsidP="00A37DB0">
      <w:pPr>
        <w:pStyle w:val="Default"/>
        <w:rPr>
          <w:sz w:val="23"/>
          <w:szCs w:val="23"/>
        </w:rPr>
      </w:pPr>
    </w:p>
    <w:p w14:paraId="1ED8976D" w14:textId="793C4BFD" w:rsidR="00A37DB0" w:rsidRDefault="00A37DB0" w:rsidP="00897E2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To: </w:t>
      </w:r>
      <w:r w:rsidR="00B34918">
        <w:rPr>
          <w:sz w:val="23"/>
          <w:szCs w:val="23"/>
        </w:rPr>
        <w:tab/>
      </w:r>
      <w:r w:rsidR="00897E23">
        <w:rPr>
          <w:sz w:val="23"/>
          <w:szCs w:val="23"/>
        </w:rPr>
        <w:t>Michael Gonzalez, Division Director</w:t>
      </w:r>
    </w:p>
    <w:p w14:paraId="422F7D91" w14:textId="77777777" w:rsidR="00897E23" w:rsidRDefault="00B34918" w:rsidP="00A37D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USEPA</w:t>
      </w:r>
      <w:r w:rsidR="00897E23">
        <w:rPr>
          <w:sz w:val="23"/>
          <w:szCs w:val="23"/>
        </w:rPr>
        <w:t xml:space="preserve"> Office of Research and Development, Center for Environmental Solutions and</w:t>
      </w:r>
    </w:p>
    <w:p w14:paraId="3A8F75D3" w14:textId="564C24E0" w:rsidR="00B34918" w:rsidRDefault="00897E23" w:rsidP="00897E23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Emergency Response, Land Remediation and Technology Division</w:t>
      </w:r>
    </w:p>
    <w:p w14:paraId="2228BCEF" w14:textId="77777777" w:rsidR="00855884" w:rsidRDefault="00855884" w:rsidP="00A37DB0">
      <w:pPr>
        <w:pStyle w:val="Default"/>
        <w:rPr>
          <w:sz w:val="23"/>
          <w:szCs w:val="23"/>
        </w:rPr>
      </w:pPr>
    </w:p>
    <w:p w14:paraId="644BE7C5" w14:textId="3E23D8BC" w:rsidR="00B34A30" w:rsidRPr="00897E23" w:rsidRDefault="00A37DB0" w:rsidP="00A37DB0">
      <w:pPr>
        <w:pStyle w:val="Default"/>
        <w:spacing w:after="240"/>
        <w:rPr>
          <w:sz w:val="23"/>
          <w:szCs w:val="23"/>
        </w:rPr>
      </w:pPr>
      <w:r>
        <w:rPr>
          <w:sz w:val="23"/>
          <w:szCs w:val="23"/>
        </w:rPr>
        <w:t xml:space="preserve">RE: </w:t>
      </w:r>
      <w:r w:rsidR="00E24346">
        <w:rPr>
          <w:sz w:val="23"/>
          <w:szCs w:val="23"/>
        </w:rPr>
        <w:t>Data from 2023-2024 Bunker Hill microcosm study</w:t>
      </w:r>
      <w:r w:rsidR="0001599A">
        <w:rPr>
          <w:sz w:val="23"/>
          <w:szCs w:val="23"/>
        </w:rPr>
        <w:t xml:space="preserve"> for publication on </w:t>
      </w:r>
      <w:r w:rsidR="0085415B">
        <w:rPr>
          <w:sz w:val="23"/>
          <w:szCs w:val="23"/>
        </w:rPr>
        <w:t xml:space="preserve">EPA </w:t>
      </w:r>
      <w:proofErr w:type="spellStart"/>
      <w:r w:rsidR="0001599A">
        <w:rPr>
          <w:sz w:val="23"/>
          <w:szCs w:val="23"/>
        </w:rPr>
        <w:t>Science</w:t>
      </w:r>
      <w:r w:rsidR="0085415B">
        <w:rPr>
          <w:sz w:val="23"/>
          <w:szCs w:val="23"/>
        </w:rPr>
        <w:t>H</w:t>
      </w:r>
      <w:r w:rsidR="0001599A">
        <w:rPr>
          <w:sz w:val="23"/>
          <w:szCs w:val="23"/>
        </w:rPr>
        <w:t>ub</w:t>
      </w:r>
      <w:proofErr w:type="spellEnd"/>
    </w:p>
    <w:p w14:paraId="5B5418CC" w14:textId="053F311D" w:rsidR="00B34A30" w:rsidRPr="00B34A30" w:rsidRDefault="00B34A30" w:rsidP="00A37DB0">
      <w:pPr>
        <w:pStyle w:val="Default"/>
        <w:spacing w:after="240"/>
        <w:rPr>
          <w:b/>
          <w:bCs/>
          <w:sz w:val="23"/>
          <w:szCs w:val="23"/>
        </w:rPr>
      </w:pPr>
      <w:r w:rsidRPr="00B34A30">
        <w:rPr>
          <w:b/>
          <w:bCs/>
          <w:sz w:val="23"/>
          <w:szCs w:val="23"/>
        </w:rPr>
        <w:t>Summary</w:t>
      </w:r>
    </w:p>
    <w:p w14:paraId="0FA39DE9" w14:textId="419DBD6F" w:rsidR="009C55FB" w:rsidRDefault="00E24346" w:rsidP="00A37DB0">
      <w:pPr>
        <w:pStyle w:val="Default"/>
        <w:spacing w:after="240"/>
        <w:rPr>
          <w:sz w:val="23"/>
          <w:szCs w:val="23"/>
        </w:rPr>
      </w:pPr>
      <w:r>
        <w:rPr>
          <w:sz w:val="23"/>
          <w:szCs w:val="23"/>
        </w:rPr>
        <w:t xml:space="preserve">A laboratory-based microcosm study was conducted from September 2023 to July 2024 by the Office of Research (ORD) Cincinnati Lab (ORD-CESER-LRTD-CAISB).  </w:t>
      </w:r>
      <w:r w:rsidR="0001599A">
        <w:rPr>
          <w:sz w:val="23"/>
          <w:szCs w:val="23"/>
        </w:rPr>
        <w:t xml:space="preserve">QA Category B data was generated following established methodologies and quality-assurance procedures.  ORD clearance policy requirements for internal technical review, quality assurance review and supervisor reviewer/approval were met.  This data is to be published on </w:t>
      </w:r>
      <w:proofErr w:type="spellStart"/>
      <w:r w:rsidR="0001599A">
        <w:rPr>
          <w:sz w:val="23"/>
          <w:szCs w:val="23"/>
        </w:rPr>
        <w:t>ScienceHub</w:t>
      </w:r>
      <w:proofErr w:type="spellEnd"/>
      <w:r w:rsidR="0001599A">
        <w:rPr>
          <w:sz w:val="23"/>
          <w:szCs w:val="23"/>
        </w:rPr>
        <w:t xml:space="preserve"> following satisfaction of EPA ORD policies</w:t>
      </w:r>
      <w:r w:rsidR="001A6FCA" w:rsidRPr="001A6FCA">
        <w:rPr>
          <w:sz w:val="23"/>
          <w:szCs w:val="23"/>
        </w:rPr>
        <w:t xml:space="preserve">. No interpretation of the </w:t>
      </w:r>
      <w:r w:rsidR="001A6FCA">
        <w:rPr>
          <w:sz w:val="23"/>
          <w:szCs w:val="23"/>
        </w:rPr>
        <w:t>data</w:t>
      </w:r>
      <w:r w:rsidR="001A6FCA" w:rsidRPr="001A6FCA">
        <w:rPr>
          <w:sz w:val="23"/>
          <w:szCs w:val="23"/>
        </w:rPr>
        <w:t xml:space="preserve"> is provided. </w:t>
      </w:r>
      <w:r w:rsidR="001A6FCA">
        <w:rPr>
          <w:sz w:val="23"/>
          <w:szCs w:val="23"/>
        </w:rPr>
        <w:t>The results of this study</w:t>
      </w:r>
      <w:r w:rsidR="001A6FCA" w:rsidRPr="001A6FCA">
        <w:rPr>
          <w:sz w:val="23"/>
          <w:szCs w:val="23"/>
        </w:rPr>
        <w:t xml:space="preserve"> will be described in detail in a publication subjected to external, expert peer review. </w:t>
      </w:r>
    </w:p>
    <w:p w14:paraId="7E2CB6DC" w14:textId="13C26A39" w:rsidR="00723235" w:rsidRDefault="0001599A" w:rsidP="00A37DB0">
      <w:pPr>
        <w:pStyle w:val="Default"/>
        <w:spacing w:after="240"/>
        <w:rPr>
          <w:sz w:val="23"/>
          <w:szCs w:val="23"/>
        </w:rPr>
      </w:pPr>
      <w:r>
        <w:rPr>
          <w:sz w:val="23"/>
          <w:szCs w:val="23"/>
        </w:rPr>
        <w:t xml:space="preserve">Sediments, collected from the Lower Coeur d’Alene Basin </w:t>
      </w:r>
      <w:r w:rsidR="009C55FB">
        <w:rPr>
          <w:sz w:val="23"/>
          <w:szCs w:val="23"/>
        </w:rPr>
        <w:t xml:space="preserve">(CDA) </w:t>
      </w:r>
      <w:r>
        <w:rPr>
          <w:sz w:val="23"/>
          <w:szCs w:val="23"/>
        </w:rPr>
        <w:t xml:space="preserve">in the Bunker Hill Mining and Metallurgical Complex Superfund Site (Bunker Hill), were used in microcosms set up and monitored by ORD Cincinnati staff.  </w:t>
      </w:r>
      <w:r w:rsidR="009C55FB">
        <w:rPr>
          <w:sz w:val="23"/>
          <w:szCs w:val="23"/>
        </w:rPr>
        <w:t xml:space="preserve">The study was designed to evaluate the impact of repeated wetting and drying cycles on sediment porewater metal concentrations in the Lower CDA.  Sediments were subjected to three wetting-drying cycles, and porewater was sampled throughout the duration of the experiment.  </w:t>
      </w:r>
      <w:r w:rsidR="00074A16">
        <w:rPr>
          <w:sz w:val="23"/>
          <w:szCs w:val="23"/>
        </w:rPr>
        <w:t xml:space="preserve">Two sediment types were subjected to two different treatments (Permanently wet vs wet/dry) with 3 replicates of each, yielding 12 total microcosms.  Each wetting-drying cycle lasted 30 days and was followed by 30 days of drying (Figure 1).  </w:t>
      </w:r>
      <w:r w:rsidR="009C55FB">
        <w:rPr>
          <w:sz w:val="23"/>
          <w:szCs w:val="23"/>
        </w:rPr>
        <w:t>This data package summarizes sediment</w:t>
      </w:r>
      <w:r w:rsidR="00604C88">
        <w:rPr>
          <w:sz w:val="23"/>
          <w:szCs w:val="23"/>
        </w:rPr>
        <w:t xml:space="preserve">, sediment </w:t>
      </w:r>
      <w:r w:rsidR="009C55FB">
        <w:rPr>
          <w:sz w:val="23"/>
          <w:szCs w:val="23"/>
        </w:rPr>
        <w:t xml:space="preserve">porewater </w:t>
      </w:r>
      <w:r w:rsidR="00604C88">
        <w:rPr>
          <w:sz w:val="23"/>
          <w:szCs w:val="23"/>
        </w:rPr>
        <w:t xml:space="preserve">and surface water </w:t>
      </w:r>
      <w:r w:rsidR="009C55FB">
        <w:rPr>
          <w:sz w:val="23"/>
          <w:szCs w:val="23"/>
        </w:rPr>
        <w:t xml:space="preserve">results </w:t>
      </w:r>
      <w:r w:rsidR="00074A16">
        <w:rPr>
          <w:sz w:val="23"/>
          <w:szCs w:val="23"/>
        </w:rPr>
        <w:t>including</w:t>
      </w:r>
      <w:r w:rsidR="009C55FB">
        <w:rPr>
          <w:sz w:val="23"/>
          <w:szCs w:val="23"/>
        </w:rPr>
        <w:t xml:space="preserve"> total metal concentrations in sediment and sediment porewater, dissolved organic carbon (DOC) concentrations, dissolved iron and sulfide</w:t>
      </w:r>
      <w:r w:rsidR="00723235">
        <w:rPr>
          <w:sz w:val="23"/>
          <w:szCs w:val="23"/>
        </w:rPr>
        <w:t xml:space="preserve">, UV absorbance at 254 nm, YSI measurements of porewater, sulfate concentrations, times series data of redox potential (Eh), and lead (Pb) speciation analysis of select samples.  </w:t>
      </w:r>
    </w:p>
    <w:p w14:paraId="1000AEA8" w14:textId="3293F137" w:rsidR="00E24346" w:rsidRDefault="00074A16" w:rsidP="00A37DB0">
      <w:pPr>
        <w:pStyle w:val="Default"/>
        <w:spacing w:after="240"/>
        <w:rPr>
          <w:sz w:val="23"/>
          <w:szCs w:val="23"/>
        </w:rPr>
      </w:pPr>
      <w:r>
        <w:rPr>
          <w:sz w:val="23"/>
          <w:szCs w:val="23"/>
        </w:rPr>
        <w:lastRenderedPageBreak/>
        <w:t>This memo details</w:t>
      </w:r>
      <w:r w:rsidR="00723235">
        <w:rPr>
          <w:sz w:val="23"/>
          <w:szCs w:val="23"/>
        </w:rPr>
        <w:t xml:space="preserve"> the appropriate QA/QC procedures used for each parameter</w:t>
      </w:r>
      <w:r>
        <w:rPr>
          <w:sz w:val="23"/>
          <w:szCs w:val="23"/>
        </w:rPr>
        <w:t xml:space="preserve">.  All analyses followed standard or established protocols outlined in the metadata.  No interpretation or analysis of the data is included.  </w:t>
      </w:r>
    </w:p>
    <w:p w14:paraId="7C82202A" w14:textId="77777777" w:rsidR="00AE6D1B" w:rsidRDefault="00AE6D1B" w:rsidP="005C0A48">
      <w:pPr>
        <w:pStyle w:val="Heading2"/>
      </w:pPr>
    </w:p>
    <w:p w14:paraId="301BAC8E" w14:textId="57CDDB51" w:rsidR="00074A16" w:rsidRPr="00AA5303" w:rsidRDefault="00074A16" w:rsidP="00074A16">
      <w:pPr>
        <w:pStyle w:val="NormalWeb"/>
      </w:pPr>
      <w:r>
        <w:rPr>
          <w:noProof/>
        </w:rPr>
        <w:drawing>
          <wp:inline distT="0" distB="0" distL="0" distR="0" wp14:anchorId="30B7890C" wp14:editId="0C115373">
            <wp:extent cx="5782951" cy="2333882"/>
            <wp:effectExtent l="0" t="0" r="825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89" cy="23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645">
        <w:rPr>
          <w:b/>
          <w:bCs/>
        </w:rPr>
        <w:t xml:space="preserve">Figure </w:t>
      </w:r>
      <w:r>
        <w:rPr>
          <w:b/>
          <w:bCs/>
        </w:rPr>
        <w:t>1</w:t>
      </w:r>
      <w:r>
        <w:t xml:space="preserve">. Schematic overview of microcosm set up.  Depths in parathesis indicate the depth that the probe, electrode or </w:t>
      </w:r>
      <w:proofErr w:type="spellStart"/>
      <w:r>
        <w:t>rhizon</w:t>
      </w:r>
      <w:proofErr w:type="spellEnd"/>
      <w:r>
        <w:t xml:space="preserve"> was installed at.  Microcosms were flooded from the bottom up through the drainage plug and drained by the plug at the end of each cycle (Wet/Dry only).  </w:t>
      </w:r>
    </w:p>
    <w:p w14:paraId="7F61BE64" w14:textId="77777777" w:rsidR="00AE6D1B" w:rsidRDefault="00AE6D1B" w:rsidP="005C0A48">
      <w:pPr>
        <w:pStyle w:val="Heading2"/>
      </w:pPr>
    </w:p>
    <w:p w14:paraId="0933DE8A" w14:textId="77777777" w:rsidR="00AE6D1B" w:rsidRDefault="00AE6D1B" w:rsidP="005C0A48">
      <w:pPr>
        <w:pStyle w:val="Heading2"/>
      </w:pPr>
    </w:p>
    <w:p w14:paraId="5D1A4531" w14:textId="63D1F86A" w:rsidR="00A37DB0" w:rsidRDefault="00A37DB0" w:rsidP="005C0A48">
      <w:pPr>
        <w:pStyle w:val="Heading2"/>
      </w:pPr>
      <w:r>
        <w:t xml:space="preserve">1. Chain of Custody </w:t>
      </w:r>
    </w:p>
    <w:p w14:paraId="53DD4AF5" w14:textId="77777777" w:rsidR="00A37DB0" w:rsidRDefault="00A37DB0" w:rsidP="00A37DB0">
      <w:pPr>
        <w:pStyle w:val="Default"/>
        <w:rPr>
          <w:sz w:val="23"/>
          <w:szCs w:val="23"/>
        </w:rPr>
      </w:pPr>
    </w:p>
    <w:p w14:paraId="6B9170E4" w14:textId="30A86455" w:rsidR="00AF7869" w:rsidRDefault="00897E23" w:rsidP="00A37DB0">
      <w:pPr>
        <w:pStyle w:val="Default"/>
        <w:spacing w:after="240"/>
        <w:rPr>
          <w:sz w:val="23"/>
          <w:szCs w:val="23"/>
        </w:rPr>
      </w:pPr>
      <w:r>
        <w:rPr>
          <w:sz w:val="23"/>
          <w:szCs w:val="23"/>
        </w:rPr>
        <w:t>Sediment samples</w:t>
      </w:r>
      <w:r w:rsidR="00A37DB0">
        <w:rPr>
          <w:sz w:val="23"/>
          <w:szCs w:val="23"/>
        </w:rPr>
        <w:t xml:space="preserve"> were received by </w:t>
      </w:r>
      <w:r w:rsidR="005C0A48">
        <w:rPr>
          <w:sz w:val="23"/>
          <w:szCs w:val="23"/>
        </w:rPr>
        <w:t xml:space="preserve">ORD </w:t>
      </w:r>
      <w:r w:rsidR="00A37DB0">
        <w:rPr>
          <w:sz w:val="23"/>
          <w:szCs w:val="23"/>
        </w:rPr>
        <w:t xml:space="preserve">within </w:t>
      </w:r>
      <w:r w:rsidR="00AF7869">
        <w:rPr>
          <w:sz w:val="23"/>
          <w:szCs w:val="23"/>
        </w:rPr>
        <w:t>three</w:t>
      </w:r>
      <w:r w:rsidR="00A37DB0">
        <w:rPr>
          <w:sz w:val="23"/>
          <w:szCs w:val="23"/>
        </w:rPr>
        <w:t xml:space="preserve"> </w:t>
      </w:r>
      <w:r w:rsidR="00AF7869">
        <w:rPr>
          <w:sz w:val="23"/>
          <w:szCs w:val="23"/>
        </w:rPr>
        <w:t>days</w:t>
      </w:r>
      <w:r w:rsidR="00A37DB0">
        <w:rPr>
          <w:sz w:val="23"/>
          <w:szCs w:val="23"/>
        </w:rPr>
        <w:t xml:space="preserve"> of the sampling event. Upon receipt, </w:t>
      </w:r>
      <w:r>
        <w:rPr>
          <w:sz w:val="23"/>
          <w:szCs w:val="23"/>
        </w:rPr>
        <w:t>sediment samples</w:t>
      </w:r>
      <w:r w:rsidR="00A37DB0">
        <w:rPr>
          <w:sz w:val="23"/>
          <w:szCs w:val="23"/>
        </w:rPr>
        <w:t xml:space="preserve"> were checked for container integrity and proper preservation. All </w:t>
      </w:r>
      <w:r>
        <w:rPr>
          <w:sz w:val="23"/>
          <w:szCs w:val="23"/>
        </w:rPr>
        <w:t xml:space="preserve">sediment </w:t>
      </w:r>
      <w:r w:rsidR="00A37DB0">
        <w:rPr>
          <w:sz w:val="23"/>
          <w:szCs w:val="23"/>
        </w:rPr>
        <w:t>samples were received intact and in good condition</w:t>
      </w:r>
      <w:r w:rsidR="00A0113A">
        <w:rPr>
          <w:sz w:val="23"/>
          <w:szCs w:val="23"/>
        </w:rPr>
        <w:t>.</w:t>
      </w:r>
      <w:r w:rsidR="007A1A98">
        <w:rPr>
          <w:sz w:val="23"/>
          <w:szCs w:val="23"/>
        </w:rPr>
        <w:t xml:space="preserve">  </w:t>
      </w:r>
      <w:r w:rsidR="00604C88">
        <w:rPr>
          <w:sz w:val="23"/>
          <w:szCs w:val="23"/>
        </w:rPr>
        <w:t xml:space="preserve">Sediment porewater and surface water samples were preserved following standard QA/QC procedures put forth in standard operating procedures (SOPs) and were disposed of </w:t>
      </w:r>
      <w:r w:rsidR="00CB1338">
        <w:rPr>
          <w:sz w:val="23"/>
          <w:szCs w:val="23"/>
        </w:rPr>
        <w:t>on-site</w:t>
      </w:r>
      <w:r w:rsidR="00604C88">
        <w:rPr>
          <w:sz w:val="23"/>
          <w:szCs w:val="23"/>
        </w:rPr>
        <w:t xml:space="preserve"> following ORD SHEM requirements.  </w:t>
      </w:r>
    </w:p>
    <w:p w14:paraId="13BA48CE" w14:textId="77777777" w:rsidR="00AF7869" w:rsidRDefault="00AF7869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14:paraId="60D26F4F" w14:textId="63A4914B" w:rsidR="00A37DB0" w:rsidRDefault="00A37DB0" w:rsidP="005C0A48">
      <w:pPr>
        <w:pStyle w:val="Heading2"/>
      </w:pPr>
      <w:r>
        <w:lastRenderedPageBreak/>
        <w:t xml:space="preserve">2. Quality Assurance and Control Procedures </w:t>
      </w:r>
    </w:p>
    <w:p w14:paraId="604E45A9" w14:textId="7B6F5068" w:rsidR="002061D9" w:rsidRPr="00B00CE9" w:rsidRDefault="00A37DB0" w:rsidP="00A37DB0">
      <w:pPr>
        <w:rPr>
          <w:rFonts w:ascii="Times New Roman" w:hAnsi="Times New Roman" w:cs="Times New Roman"/>
          <w:sz w:val="23"/>
          <w:szCs w:val="23"/>
        </w:rPr>
      </w:pPr>
      <w:r w:rsidRPr="00B00CE9">
        <w:rPr>
          <w:rFonts w:ascii="Times New Roman" w:hAnsi="Times New Roman" w:cs="Times New Roman"/>
          <w:sz w:val="23"/>
          <w:szCs w:val="23"/>
        </w:rPr>
        <w:t xml:space="preserve">The following tables outline the quality assurance and control (QA/QC) procedures implemented by the </w:t>
      </w:r>
      <w:r w:rsidR="00897E23">
        <w:rPr>
          <w:rFonts w:ascii="Times New Roman" w:hAnsi="Times New Roman" w:cs="Times New Roman"/>
          <w:sz w:val="23"/>
          <w:szCs w:val="23"/>
        </w:rPr>
        <w:t>ORD-CESER-</w:t>
      </w:r>
      <w:r w:rsidR="00A0113A" w:rsidRPr="00B00CE9">
        <w:rPr>
          <w:rFonts w:ascii="Times New Roman" w:hAnsi="Times New Roman" w:cs="Times New Roman"/>
          <w:sz w:val="23"/>
          <w:szCs w:val="23"/>
        </w:rPr>
        <w:t>LRTD</w:t>
      </w:r>
      <w:r w:rsidRPr="00B00CE9">
        <w:rPr>
          <w:rFonts w:ascii="Times New Roman" w:hAnsi="Times New Roman" w:cs="Times New Roman"/>
          <w:sz w:val="23"/>
          <w:szCs w:val="23"/>
        </w:rPr>
        <w:t xml:space="preserve"> </w:t>
      </w:r>
      <w:r w:rsidR="00897E23">
        <w:rPr>
          <w:rFonts w:ascii="Times New Roman" w:hAnsi="Times New Roman" w:cs="Times New Roman"/>
          <w:sz w:val="23"/>
          <w:szCs w:val="23"/>
        </w:rPr>
        <w:t xml:space="preserve">Cincinnati staff </w:t>
      </w:r>
      <w:r w:rsidRPr="00B00CE9">
        <w:rPr>
          <w:rFonts w:ascii="Times New Roman" w:hAnsi="Times New Roman" w:cs="Times New Roman"/>
          <w:sz w:val="23"/>
          <w:szCs w:val="23"/>
        </w:rPr>
        <w:t>during sample analysis:</w:t>
      </w:r>
    </w:p>
    <w:tbl>
      <w:tblPr>
        <w:tblStyle w:val="TableGrid"/>
        <w:tblW w:w="9682" w:type="dxa"/>
        <w:tblInd w:w="-185" w:type="dxa"/>
        <w:tblLook w:val="0400" w:firstRow="0" w:lastRow="0" w:firstColumn="0" w:lastColumn="0" w:noHBand="0" w:noVBand="1"/>
      </w:tblPr>
      <w:tblGrid>
        <w:gridCol w:w="1667"/>
        <w:gridCol w:w="1256"/>
        <w:gridCol w:w="20"/>
        <w:gridCol w:w="1455"/>
        <w:gridCol w:w="1508"/>
        <w:gridCol w:w="1144"/>
        <w:gridCol w:w="1115"/>
        <w:gridCol w:w="1498"/>
        <w:gridCol w:w="19"/>
      </w:tblGrid>
      <w:tr w:rsidR="001F20D1" w:rsidRPr="00D0692F" w14:paraId="3FFA40D8" w14:textId="77777777" w:rsidTr="001F20D1">
        <w:trPr>
          <w:cantSplit/>
          <w:tblHeader/>
        </w:trPr>
        <w:tc>
          <w:tcPr>
            <w:tcW w:w="1667" w:type="dxa"/>
            <w:vAlign w:val="center"/>
          </w:tcPr>
          <w:p w14:paraId="5B068104" w14:textId="6C0FEF40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Analyte, Matrix, and method</w:t>
            </w:r>
          </w:p>
        </w:tc>
        <w:tc>
          <w:tcPr>
            <w:tcW w:w="1256" w:type="dxa"/>
            <w:vAlign w:val="center"/>
          </w:tcPr>
          <w:p w14:paraId="23906832" w14:textId="0363D528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Quality Control Objective</w:t>
            </w:r>
          </w:p>
        </w:tc>
        <w:tc>
          <w:tcPr>
            <w:tcW w:w="1475" w:type="dxa"/>
            <w:gridSpan w:val="2"/>
            <w:vAlign w:val="center"/>
          </w:tcPr>
          <w:p w14:paraId="75FA15A9" w14:textId="40F06C0E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Acceptance Criteria</w:t>
            </w:r>
          </w:p>
        </w:tc>
        <w:tc>
          <w:tcPr>
            <w:tcW w:w="1508" w:type="dxa"/>
            <w:vAlign w:val="center"/>
          </w:tcPr>
          <w:p w14:paraId="161DE9E3" w14:textId="4D4E6A06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144" w:type="dxa"/>
            <w:vAlign w:val="center"/>
          </w:tcPr>
          <w:p w14:paraId="14A255C0" w14:textId="2A0FE415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1115" w:type="dxa"/>
            <w:vAlign w:val="center"/>
          </w:tcPr>
          <w:p w14:paraId="32C067A4" w14:textId="1B4C6D6C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Method Reference</w:t>
            </w:r>
          </w:p>
        </w:tc>
        <w:tc>
          <w:tcPr>
            <w:tcW w:w="1517" w:type="dxa"/>
            <w:gridSpan w:val="2"/>
            <w:vAlign w:val="center"/>
          </w:tcPr>
          <w:p w14:paraId="1A54BD98" w14:textId="1F223CBE" w:rsidR="008C319F" w:rsidRPr="00D0692F" w:rsidRDefault="008C319F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Instrument</w:t>
            </w:r>
          </w:p>
        </w:tc>
      </w:tr>
      <w:tr w:rsidR="001F20D1" w:rsidRPr="00D0692F" w14:paraId="72401385" w14:textId="77777777" w:rsidTr="001F20D1">
        <w:tc>
          <w:tcPr>
            <w:tcW w:w="1667" w:type="dxa"/>
            <w:vMerge w:val="restart"/>
            <w:vAlign w:val="center"/>
          </w:tcPr>
          <w:p w14:paraId="62358D57" w14:textId="5785C11B" w:rsidR="00570307" w:rsidRPr="00D0692F" w:rsidRDefault="00570307" w:rsidP="00AF7869">
            <w:pPr>
              <w:jc w:val="center"/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</w:pPr>
            <w:r w:rsidRPr="00D0692F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>Sample digestion (Solid)</w:t>
            </w:r>
          </w:p>
        </w:tc>
        <w:tc>
          <w:tcPr>
            <w:tcW w:w="1256" w:type="dxa"/>
            <w:vAlign w:val="center"/>
          </w:tcPr>
          <w:p w14:paraId="3B7C2DFA" w14:textId="2D292B40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Minimize sample loss during digestion</w:t>
            </w:r>
          </w:p>
        </w:tc>
        <w:tc>
          <w:tcPr>
            <w:tcW w:w="1475" w:type="dxa"/>
            <w:gridSpan w:val="2"/>
            <w:vAlign w:val="center"/>
          </w:tcPr>
          <w:p w14:paraId="25FCB4D3" w14:textId="7389C978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&lt;5% </w:t>
            </w:r>
          </w:p>
        </w:tc>
        <w:tc>
          <w:tcPr>
            <w:tcW w:w="1508" w:type="dxa"/>
            <w:vAlign w:val="center"/>
          </w:tcPr>
          <w:p w14:paraId="6AB1D6CB" w14:textId="5EEBA6AE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% loss of initial weight following digestion</w:t>
            </w:r>
          </w:p>
        </w:tc>
        <w:tc>
          <w:tcPr>
            <w:tcW w:w="1144" w:type="dxa"/>
            <w:vAlign w:val="center"/>
          </w:tcPr>
          <w:p w14:paraId="438A2946" w14:textId="60468879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Each run</w:t>
            </w:r>
          </w:p>
        </w:tc>
        <w:tc>
          <w:tcPr>
            <w:tcW w:w="2632" w:type="dxa"/>
            <w:gridSpan w:val="3"/>
            <w:vMerge w:val="restart"/>
            <w:vAlign w:val="center"/>
          </w:tcPr>
          <w:p w14:paraId="5DFC1739" w14:textId="77777777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K-LRTD-SOP-1</w:t>
            </w:r>
            <w:r>
              <w:rPr>
                <w:rFonts w:cstheme="minorHAnsi"/>
                <w:sz w:val="20"/>
                <w:szCs w:val="20"/>
              </w:rPr>
              <w:t>193-0</w:t>
            </w:r>
          </w:p>
          <w:p w14:paraId="091B2AA8" w14:textId="1D4793C1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Mars </w:t>
            </w:r>
            <w:proofErr w:type="spellStart"/>
            <w:r w:rsidRPr="00D0692F">
              <w:rPr>
                <w:rFonts w:cstheme="minorHAnsi"/>
                <w:sz w:val="20"/>
                <w:szCs w:val="20"/>
              </w:rPr>
              <w:t>Xrpress</w:t>
            </w:r>
            <w:proofErr w:type="spellEnd"/>
          </w:p>
        </w:tc>
      </w:tr>
      <w:tr w:rsidR="001F20D1" w:rsidRPr="00D0692F" w14:paraId="2E41805D" w14:textId="77777777" w:rsidTr="001F20D1">
        <w:tc>
          <w:tcPr>
            <w:tcW w:w="1667" w:type="dxa"/>
            <w:vMerge/>
            <w:vAlign w:val="center"/>
          </w:tcPr>
          <w:p w14:paraId="2500AE47" w14:textId="77777777" w:rsidR="00570307" w:rsidRPr="00D0692F" w:rsidRDefault="00570307" w:rsidP="00AF7869">
            <w:pPr>
              <w:jc w:val="center"/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256" w:type="dxa"/>
            <w:vAlign w:val="center"/>
          </w:tcPr>
          <w:p w14:paraId="262AB07D" w14:textId="6253DD80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External NIST standard recovery rate</w:t>
            </w:r>
          </w:p>
        </w:tc>
        <w:tc>
          <w:tcPr>
            <w:tcW w:w="1475" w:type="dxa"/>
            <w:gridSpan w:val="2"/>
            <w:vAlign w:val="center"/>
          </w:tcPr>
          <w:p w14:paraId="4EC164F4" w14:textId="1993BA14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 +/- 20%</w:t>
            </w:r>
          </w:p>
        </w:tc>
        <w:tc>
          <w:tcPr>
            <w:tcW w:w="1508" w:type="dxa"/>
            <w:vAlign w:val="center"/>
          </w:tcPr>
          <w:p w14:paraId="6C4AD1A9" w14:textId="3105DFD3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Analyte recoveries calculated relative to certified values</w:t>
            </w:r>
          </w:p>
        </w:tc>
        <w:tc>
          <w:tcPr>
            <w:tcW w:w="1144" w:type="dxa"/>
            <w:vAlign w:val="center"/>
          </w:tcPr>
          <w:p w14:paraId="0D5A2540" w14:textId="1BA3E6B4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Each run</w:t>
            </w:r>
          </w:p>
        </w:tc>
        <w:tc>
          <w:tcPr>
            <w:tcW w:w="2632" w:type="dxa"/>
            <w:gridSpan w:val="3"/>
            <w:vMerge/>
            <w:vAlign w:val="center"/>
          </w:tcPr>
          <w:p w14:paraId="6829FFA6" w14:textId="77777777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215AF249" w14:textId="77777777" w:rsidTr="00722439">
        <w:tc>
          <w:tcPr>
            <w:tcW w:w="1667" w:type="dxa"/>
            <w:vMerge/>
            <w:tcBorders>
              <w:bottom w:val="single" w:sz="12" w:space="0" w:color="auto"/>
            </w:tcBorders>
            <w:vAlign w:val="center"/>
          </w:tcPr>
          <w:p w14:paraId="624542B6" w14:textId="77777777" w:rsidR="00570307" w:rsidRPr="00D0692F" w:rsidRDefault="00570307" w:rsidP="00AF7869">
            <w:pPr>
              <w:jc w:val="center"/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161D31B6" w14:textId="3229A660" w:rsidR="00570307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Method Blank</w:t>
            </w:r>
          </w:p>
        </w:tc>
        <w:tc>
          <w:tcPr>
            <w:tcW w:w="1475" w:type="dxa"/>
            <w:gridSpan w:val="2"/>
            <w:tcBorders>
              <w:bottom w:val="single" w:sz="12" w:space="0" w:color="auto"/>
            </w:tcBorders>
            <w:vAlign w:val="center"/>
          </w:tcPr>
          <w:p w14:paraId="7908D4AD" w14:textId="4BB713D8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 MRL</w:t>
            </w:r>
          </w:p>
        </w:tc>
        <w:tc>
          <w:tcPr>
            <w:tcW w:w="1508" w:type="dxa"/>
            <w:tcBorders>
              <w:bottom w:val="single" w:sz="12" w:space="0" w:color="auto"/>
            </w:tcBorders>
            <w:vAlign w:val="center"/>
          </w:tcPr>
          <w:p w14:paraId="62D3EE93" w14:textId="5D1535EA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Process a blank in the exact same manner as samples to ensure no contamination during preparation and analytical process</w:t>
            </w:r>
          </w:p>
        </w:tc>
        <w:tc>
          <w:tcPr>
            <w:tcW w:w="1144" w:type="dxa"/>
            <w:tcBorders>
              <w:bottom w:val="single" w:sz="12" w:space="0" w:color="auto"/>
            </w:tcBorders>
            <w:vAlign w:val="center"/>
          </w:tcPr>
          <w:p w14:paraId="777475CF" w14:textId="4C2F1F0E" w:rsidR="00570307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Each run</w:t>
            </w:r>
          </w:p>
        </w:tc>
        <w:tc>
          <w:tcPr>
            <w:tcW w:w="2632" w:type="dxa"/>
            <w:gridSpan w:val="3"/>
            <w:vMerge/>
            <w:vAlign w:val="center"/>
          </w:tcPr>
          <w:p w14:paraId="12109619" w14:textId="77777777" w:rsidR="00570307" w:rsidRPr="00D0692F" w:rsidRDefault="00570307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4970F94D" w14:textId="77777777" w:rsidTr="00722439">
        <w:tc>
          <w:tcPr>
            <w:tcW w:w="1667" w:type="dxa"/>
            <w:vMerge w:val="restart"/>
            <w:tcBorders>
              <w:top w:val="single" w:sz="12" w:space="0" w:color="auto"/>
            </w:tcBorders>
            <w:vAlign w:val="center"/>
          </w:tcPr>
          <w:p w14:paraId="1EEE7C0E" w14:textId="3FC531B9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>Total Metals (Liquid and Solid)</w:t>
            </w:r>
          </w:p>
        </w:tc>
        <w:tc>
          <w:tcPr>
            <w:tcW w:w="1256" w:type="dxa"/>
            <w:tcBorders>
              <w:top w:val="single" w:sz="12" w:space="0" w:color="auto"/>
            </w:tcBorders>
            <w:vAlign w:val="center"/>
          </w:tcPr>
          <w:p w14:paraId="3E19D5DD" w14:textId="4B43093A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Instrument Calibration check</w:t>
            </w:r>
          </w:p>
        </w:tc>
        <w:tc>
          <w:tcPr>
            <w:tcW w:w="1475" w:type="dxa"/>
            <w:gridSpan w:val="2"/>
            <w:tcBorders>
              <w:top w:val="single" w:sz="12" w:space="0" w:color="auto"/>
            </w:tcBorders>
            <w:vAlign w:val="center"/>
          </w:tcPr>
          <w:p w14:paraId="002E62A5" w14:textId="44676339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90-110%</w:t>
            </w:r>
          </w:p>
        </w:tc>
        <w:tc>
          <w:tcPr>
            <w:tcW w:w="1508" w:type="dxa"/>
            <w:tcBorders>
              <w:top w:val="single" w:sz="12" w:space="0" w:color="auto"/>
            </w:tcBorders>
            <w:vAlign w:val="center"/>
          </w:tcPr>
          <w:p w14:paraId="0E8B01E0" w14:textId="06729B8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Percent recovery for analysis of an anion standard during sample analysis</w:t>
            </w:r>
          </w:p>
        </w:tc>
        <w:tc>
          <w:tcPr>
            <w:tcW w:w="1144" w:type="dxa"/>
            <w:tcBorders>
              <w:top w:val="single" w:sz="12" w:space="0" w:color="auto"/>
            </w:tcBorders>
            <w:vAlign w:val="center"/>
          </w:tcPr>
          <w:p w14:paraId="05D3AF1E" w14:textId="1483BDFE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At the beginning of every analysis and once every ten samples</w:t>
            </w:r>
          </w:p>
        </w:tc>
        <w:tc>
          <w:tcPr>
            <w:tcW w:w="1115" w:type="dxa"/>
            <w:vMerge w:val="restart"/>
            <w:tcBorders>
              <w:top w:val="single" w:sz="12" w:space="0" w:color="auto"/>
            </w:tcBorders>
            <w:vAlign w:val="center"/>
          </w:tcPr>
          <w:p w14:paraId="24F1D159" w14:textId="0F9EABC2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EPA Method 6020B</w:t>
            </w:r>
          </w:p>
        </w:tc>
        <w:tc>
          <w:tcPr>
            <w:tcW w:w="15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71BA306" w14:textId="1600EF2A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Agilent 7900</w:t>
            </w:r>
          </w:p>
          <w:p w14:paraId="6BF8F8E2" w14:textId="145EE248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3852B976" w14:textId="77777777" w:rsidTr="001F20D1">
        <w:tc>
          <w:tcPr>
            <w:tcW w:w="1667" w:type="dxa"/>
            <w:vMerge/>
            <w:vAlign w:val="center"/>
          </w:tcPr>
          <w:p w14:paraId="2F63886F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1875E896" w14:textId="1AC9E99B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Instrument duplicate</w:t>
            </w:r>
          </w:p>
        </w:tc>
        <w:tc>
          <w:tcPr>
            <w:tcW w:w="1475" w:type="dxa"/>
            <w:gridSpan w:val="2"/>
            <w:vAlign w:val="center"/>
          </w:tcPr>
          <w:p w14:paraId="7E68894C" w14:textId="411CDB21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&lt;10%</w:t>
            </w:r>
          </w:p>
        </w:tc>
        <w:tc>
          <w:tcPr>
            <w:tcW w:w="1508" w:type="dxa"/>
            <w:vAlign w:val="center"/>
          </w:tcPr>
          <w:p w14:paraId="0B681B67" w14:textId="2E182065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Percent difference of anion concentration for duplicate sample analysis</w:t>
            </w:r>
          </w:p>
        </w:tc>
        <w:tc>
          <w:tcPr>
            <w:tcW w:w="1144" w:type="dxa"/>
            <w:vAlign w:val="center"/>
          </w:tcPr>
          <w:p w14:paraId="33EFFC62" w14:textId="169CC00A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10% of samples</w:t>
            </w:r>
          </w:p>
        </w:tc>
        <w:tc>
          <w:tcPr>
            <w:tcW w:w="1115" w:type="dxa"/>
            <w:vMerge/>
            <w:vAlign w:val="center"/>
          </w:tcPr>
          <w:p w14:paraId="18B21DC3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042C735F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367A5154" w14:textId="77777777" w:rsidTr="00722439">
        <w:tc>
          <w:tcPr>
            <w:tcW w:w="1667" w:type="dxa"/>
            <w:vMerge/>
            <w:tcBorders>
              <w:bottom w:val="single" w:sz="12" w:space="0" w:color="auto"/>
            </w:tcBorders>
            <w:vAlign w:val="center"/>
          </w:tcPr>
          <w:p w14:paraId="4B1A2574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451BA76F" w14:textId="4BA5835B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Matrix spike</w:t>
            </w:r>
          </w:p>
        </w:tc>
        <w:tc>
          <w:tcPr>
            <w:tcW w:w="1475" w:type="dxa"/>
            <w:gridSpan w:val="2"/>
            <w:tcBorders>
              <w:bottom w:val="single" w:sz="12" w:space="0" w:color="auto"/>
            </w:tcBorders>
            <w:vAlign w:val="center"/>
          </w:tcPr>
          <w:p w14:paraId="50F3346D" w14:textId="0F40578C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70-130%</w:t>
            </w:r>
          </w:p>
        </w:tc>
        <w:tc>
          <w:tcPr>
            <w:tcW w:w="1508" w:type="dxa"/>
            <w:tcBorders>
              <w:bottom w:val="single" w:sz="12" w:space="0" w:color="auto"/>
            </w:tcBorders>
            <w:vAlign w:val="center"/>
          </w:tcPr>
          <w:p w14:paraId="1D2F110B" w14:textId="64538832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Recovery of added known concentration of analytes.</w:t>
            </w:r>
          </w:p>
        </w:tc>
        <w:tc>
          <w:tcPr>
            <w:tcW w:w="1144" w:type="dxa"/>
            <w:tcBorders>
              <w:bottom w:val="single" w:sz="12" w:space="0" w:color="auto"/>
            </w:tcBorders>
            <w:vAlign w:val="center"/>
          </w:tcPr>
          <w:p w14:paraId="31AD8580" w14:textId="72E33EC1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10% of samples</w:t>
            </w:r>
          </w:p>
        </w:tc>
        <w:tc>
          <w:tcPr>
            <w:tcW w:w="1115" w:type="dxa"/>
            <w:vMerge/>
            <w:tcBorders>
              <w:bottom w:val="single" w:sz="12" w:space="0" w:color="auto"/>
            </w:tcBorders>
            <w:vAlign w:val="center"/>
          </w:tcPr>
          <w:p w14:paraId="68E7434F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0B0E164D" w14:textId="77777777" w:rsidR="00D53BED" w:rsidRPr="00D0692F" w:rsidRDefault="00D53BED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3BED" w:rsidRPr="00D0692F" w14:paraId="2D597DA2" w14:textId="77777777" w:rsidTr="001F20D1">
        <w:tc>
          <w:tcPr>
            <w:tcW w:w="9682" w:type="dxa"/>
            <w:gridSpan w:val="9"/>
            <w:vAlign w:val="center"/>
          </w:tcPr>
          <w:p w14:paraId="3C629777" w14:textId="1D34D377" w:rsidR="00D53BED" w:rsidRPr="00D0692F" w:rsidRDefault="00D53BED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pH, specific conductance (</w:t>
            </w:r>
            <w:proofErr w:type="spellStart"/>
            <w:r w:rsidRPr="00D0692F">
              <w:rPr>
                <w:rFonts w:cstheme="minorHAnsi"/>
                <w:b/>
                <w:bCs/>
                <w:sz w:val="20"/>
                <w:szCs w:val="20"/>
              </w:rPr>
              <w:t>SpC</w:t>
            </w:r>
            <w:proofErr w:type="spellEnd"/>
            <w:r w:rsidRPr="00D0692F">
              <w:rPr>
                <w:rFonts w:cstheme="minorHAnsi"/>
                <w:b/>
                <w:bCs/>
                <w:sz w:val="20"/>
                <w:szCs w:val="20"/>
              </w:rPr>
              <w:t>), dissolved oxygen (DO), ORP</w:t>
            </w:r>
            <w:r w:rsidR="00570307">
              <w:rPr>
                <w:rFonts w:cstheme="minorHAnsi"/>
                <w:b/>
                <w:bCs/>
                <w:sz w:val="20"/>
                <w:szCs w:val="20"/>
              </w:rPr>
              <w:t xml:space="preserve"> on YSI</w:t>
            </w:r>
          </w:p>
        </w:tc>
      </w:tr>
      <w:tr w:rsidR="001F20D1" w:rsidRPr="00D0692F" w14:paraId="27D4C487" w14:textId="77777777" w:rsidTr="001F20D1">
        <w:tc>
          <w:tcPr>
            <w:tcW w:w="1667" w:type="dxa"/>
            <w:vAlign w:val="center"/>
          </w:tcPr>
          <w:p w14:paraId="61DEC74E" w14:textId="60C7154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Dissolved oxygen (DO)</w:t>
            </w:r>
          </w:p>
        </w:tc>
        <w:tc>
          <w:tcPr>
            <w:tcW w:w="1256" w:type="dxa"/>
            <w:vAlign w:val="center"/>
          </w:tcPr>
          <w:p w14:paraId="3A90D89F" w14:textId="75098B52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Instrument calibration check</w:t>
            </w:r>
          </w:p>
        </w:tc>
        <w:tc>
          <w:tcPr>
            <w:tcW w:w="1475" w:type="dxa"/>
            <w:gridSpan w:val="2"/>
            <w:vAlign w:val="center"/>
          </w:tcPr>
          <w:p w14:paraId="61D32B12" w14:textId="4367CDD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&lt;5% error</w:t>
            </w:r>
          </w:p>
        </w:tc>
        <w:tc>
          <w:tcPr>
            <w:tcW w:w="1508" w:type="dxa"/>
            <w:vAlign w:val="center"/>
          </w:tcPr>
          <w:p w14:paraId="7D282D2C" w14:textId="6251DC0B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2-point calibration curve, 0 and 100%</w:t>
            </w:r>
          </w:p>
        </w:tc>
        <w:tc>
          <w:tcPr>
            <w:tcW w:w="1144" w:type="dxa"/>
            <w:vAlign w:val="center"/>
          </w:tcPr>
          <w:p w14:paraId="0959F6CF" w14:textId="3CDDB411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 w:val="restart"/>
            <w:vAlign w:val="center"/>
          </w:tcPr>
          <w:p w14:paraId="63BCA465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K-LRTD-SOP-1208-0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45FA211A" w14:textId="7C1F9C50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YSI Multiparameter Water Quality Sonde</w:t>
            </w:r>
          </w:p>
        </w:tc>
      </w:tr>
      <w:tr w:rsidR="001F20D1" w:rsidRPr="00D0692F" w14:paraId="44E03F0F" w14:textId="77777777" w:rsidTr="001F20D1">
        <w:tc>
          <w:tcPr>
            <w:tcW w:w="1667" w:type="dxa"/>
            <w:vMerge w:val="restart"/>
            <w:vAlign w:val="center"/>
          </w:tcPr>
          <w:p w14:paraId="396589DB" w14:textId="5237650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256" w:type="dxa"/>
            <w:vAlign w:val="center"/>
          </w:tcPr>
          <w:p w14:paraId="07666EAE" w14:textId="175A3FA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Instrument calibration </w:t>
            </w:r>
          </w:p>
        </w:tc>
        <w:tc>
          <w:tcPr>
            <w:tcW w:w="1475" w:type="dxa"/>
            <w:gridSpan w:val="2"/>
            <w:vAlign w:val="center"/>
          </w:tcPr>
          <w:p w14:paraId="7FB0ADB3" w14:textId="5D522F5C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Slope &gt; 95%</w:t>
            </w:r>
          </w:p>
        </w:tc>
        <w:tc>
          <w:tcPr>
            <w:tcW w:w="1508" w:type="dxa"/>
            <w:vAlign w:val="center"/>
          </w:tcPr>
          <w:p w14:paraId="3804977A" w14:textId="6A638D84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3-point calibration curve</w:t>
            </w:r>
          </w:p>
        </w:tc>
        <w:tc>
          <w:tcPr>
            <w:tcW w:w="1144" w:type="dxa"/>
            <w:vAlign w:val="center"/>
          </w:tcPr>
          <w:p w14:paraId="2333E915" w14:textId="2DE3CDC8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/>
            <w:vAlign w:val="center"/>
          </w:tcPr>
          <w:p w14:paraId="0144B920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186DBC5F" w14:textId="6A921536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159072EC" w14:textId="77777777" w:rsidTr="001F20D1">
        <w:tc>
          <w:tcPr>
            <w:tcW w:w="1667" w:type="dxa"/>
            <w:vMerge/>
            <w:vAlign w:val="center"/>
          </w:tcPr>
          <w:p w14:paraId="47A58120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3357768D" w14:textId="72967804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Calibration check</w:t>
            </w:r>
          </w:p>
        </w:tc>
        <w:tc>
          <w:tcPr>
            <w:tcW w:w="1475" w:type="dxa"/>
            <w:gridSpan w:val="2"/>
            <w:vAlign w:val="center"/>
          </w:tcPr>
          <w:p w14:paraId="3D6BD577" w14:textId="4A290504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Within 0.1 pH units of expected value</w:t>
            </w:r>
          </w:p>
        </w:tc>
        <w:tc>
          <w:tcPr>
            <w:tcW w:w="1508" w:type="dxa"/>
            <w:vAlign w:val="center"/>
          </w:tcPr>
          <w:p w14:paraId="6CE912B1" w14:textId="1E25D4EA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3-point calibration curve</w:t>
            </w:r>
          </w:p>
        </w:tc>
        <w:tc>
          <w:tcPr>
            <w:tcW w:w="1144" w:type="dxa"/>
            <w:vAlign w:val="center"/>
          </w:tcPr>
          <w:p w14:paraId="447EEFAF" w14:textId="2051CFB6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/>
            <w:vAlign w:val="center"/>
          </w:tcPr>
          <w:p w14:paraId="2AD42086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54BDEF41" w14:textId="340E7CBD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4AAD1517" w14:textId="77777777" w:rsidTr="001F20D1">
        <w:tc>
          <w:tcPr>
            <w:tcW w:w="1667" w:type="dxa"/>
            <w:vAlign w:val="center"/>
          </w:tcPr>
          <w:p w14:paraId="5C1F461E" w14:textId="072D81AB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Specific conductance (</w:t>
            </w:r>
            <w:proofErr w:type="spellStart"/>
            <w:r w:rsidRPr="00D0692F">
              <w:rPr>
                <w:rFonts w:cstheme="minorHAnsi"/>
                <w:sz w:val="20"/>
                <w:szCs w:val="20"/>
              </w:rPr>
              <w:t>SpC</w:t>
            </w:r>
            <w:proofErr w:type="spellEnd"/>
            <w:r w:rsidRPr="00D0692F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56" w:type="dxa"/>
            <w:vAlign w:val="center"/>
          </w:tcPr>
          <w:p w14:paraId="36D1D0A1" w14:textId="4FD6C2ED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Instrument calibration check</w:t>
            </w:r>
          </w:p>
        </w:tc>
        <w:tc>
          <w:tcPr>
            <w:tcW w:w="1475" w:type="dxa"/>
            <w:gridSpan w:val="2"/>
            <w:vAlign w:val="center"/>
          </w:tcPr>
          <w:p w14:paraId="2A3D8143" w14:textId="501BB18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&lt;5% error</w:t>
            </w:r>
          </w:p>
        </w:tc>
        <w:tc>
          <w:tcPr>
            <w:tcW w:w="1508" w:type="dxa"/>
            <w:vAlign w:val="center"/>
          </w:tcPr>
          <w:p w14:paraId="1494B9D7" w14:textId="4DF97F9D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Calibration with 1,000 us/cm standard</w:t>
            </w:r>
          </w:p>
        </w:tc>
        <w:tc>
          <w:tcPr>
            <w:tcW w:w="1144" w:type="dxa"/>
            <w:vAlign w:val="center"/>
          </w:tcPr>
          <w:p w14:paraId="28AA200F" w14:textId="7D9A434B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/>
            <w:vAlign w:val="center"/>
          </w:tcPr>
          <w:p w14:paraId="546BDF67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11B43DA1" w14:textId="1F0D185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68117F3E" w14:textId="77777777" w:rsidTr="00722439">
        <w:tc>
          <w:tcPr>
            <w:tcW w:w="1667" w:type="dxa"/>
            <w:tcBorders>
              <w:bottom w:val="single" w:sz="12" w:space="0" w:color="auto"/>
            </w:tcBorders>
            <w:vAlign w:val="center"/>
          </w:tcPr>
          <w:p w14:paraId="3B0B96B2" w14:textId="6CE7FA0D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Oxidation reduction potential (ORP)</w:t>
            </w:r>
          </w:p>
        </w:tc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46A10A92" w14:textId="20D3A85E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Instrument calibration check</w:t>
            </w:r>
          </w:p>
        </w:tc>
        <w:tc>
          <w:tcPr>
            <w:tcW w:w="1475" w:type="dxa"/>
            <w:gridSpan w:val="2"/>
            <w:tcBorders>
              <w:bottom w:val="single" w:sz="12" w:space="0" w:color="auto"/>
            </w:tcBorders>
            <w:vAlign w:val="center"/>
          </w:tcPr>
          <w:p w14:paraId="2B1F7010" w14:textId="5CE36C0A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&lt;5% error</w:t>
            </w:r>
          </w:p>
        </w:tc>
        <w:tc>
          <w:tcPr>
            <w:tcW w:w="1508" w:type="dxa"/>
            <w:tcBorders>
              <w:bottom w:val="single" w:sz="12" w:space="0" w:color="auto"/>
            </w:tcBorders>
            <w:vAlign w:val="center"/>
          </w:tcPr>
          <w:p w14:paraId="701AD44D" w14:textId="1D43069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Calibration with </w:t>
            </w:r>
            <w:proofErr w:type="spellStart"/>
            <w:r w:rsidRPr="00D0692F">
              <w:rPr>
                <w:rFonts w:cstheme="minorHAnsi"/>
                <w:sz w:val="20"/>
                <w:szCs w:val="20"/>
              </w:rPr>
              <w:t>Zobell</w:t>
            </w:r>
            <w:proofErr w:type="spellEnd"/>
            <w:r w:rsidRPr="00D0692F">
              <w:rPr>
                <w:rFonts w:cstheme="minorHAnsi"/>
                <w:sz w:val="20"/>
                <w:szCs w:val="20"/>
              </w:rPr>
              <w:t xml:space="preserve"> solution</w:t>
            </w:r>
            <w:r w:rsidR="00275C84">
              <w:rPr>
                <w:rFonts w:cstheme="minorHAnsi"/>
                <w:sz w:val="20"/>
                <w:szCs w:val="20"/>
              </w:rPr>
              <w:t xml:space="preserve"> relative to Ag/AgCl </w:t>
            </w:r>
            <w:r w:rsidR="00C91F55">
              <w:rPr>
                <w:rFonts w:cstheme="minorHAnsi"/>
                <w:sz w:val="20"/>
                <w:szCs w:val="20"/>
              </w:rPr>
              <w:t>redox couple</w:t>
            </w:r>
          </w:p>
        </w:tc>
        <w:tc>
          <w:tcPr>
            <w:tcW w:w="1144" w:type="dxa"/>
            <w:tcBorders>
              <w:bottom w:val="single" w:sz="12" w:space="0" w:color="auto"/>
            </w:tcBorders>
            <w:vAlign w:val="center"/>
          </w:tcPr>
          <w:p w14:paraId="504F7A8B" w14:textId="22148DB5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/>
            <w:vAlign w:val="center"/>
          </w:tcPr>
          <w:p w14:paraId="7F18B068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38C7E7B9" w14:textId="5F8B53BF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06711" w:rsidRPr="00D0692F" w14:paraId="79775F6F" w14:textId="77777777" w:rsidTr="00722439">
        <w:tc>
          <w:tcPr>
            <w:tcW w:w="9682" w:type="dxa"/>
            <w:gridSpan w:val="9"/>
            <w:tcBorders>
              <w:top w:val="single" w:sz="12" w:space="0" w:color="auto"/>
            </w:tcBorders>
            <w:vAlign w:val="center"/>
          </w:tcPr>
          <w:p w14:paraId="47072DDD" w14:textId="56B5594B" w:rsidR="00406711" w:rsidRPr="00D0692F" w:rsidRDefault="00722439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Colorimetric measurements</w:t>
            </w:r>
          </w:p>
        </w:tc>
      </w:tr>
      <w:tr w:rsidR="001F20D1" w:rsidRPr="00D0692F" w14:paraId="218DC336" w14:textId="77777777" w:rsidTr="001F20D1">
        <w:trPr>
          <w:gridAfter w:val="1"/>
          <w:wAfter w:w="19" w:type="dxa"/>
        </w:trPr>
        <w:tc>
          <w:tcPr>
            <w:tcW w:w="1667" w:type="dxa"/>
            <w:vAlign w:val="center"/>
          </w:tcPr>
          <w:p w14:paraId="227BD39F" w14:textId="7CCAE4A0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Ferrous iron</w:t>
            </w:r>
            <w:r w:rsidR="00722439">
              <w:rPr>
                <w:rFonts w:cstheme="minorHAnsi"/>
                <w:sz w:val="20"/>
                <w:szCs w:val="20"/>
              </w:rPr>
              <w:t xml:space="preserve">, Fe(II), </w:t>
            </w:r>
            <w:r w:rsidRPr="00D0692F">
              <w:rPr>
                <w:rFonts w:cstheme="minorHAnsi"/>
                <w:sz w:val="20"/>
                <w:szCs w:val="20"/>
              </w:rPr>
              <w:t>(Liquid)</w:t>
            </w:r>
          </w:p>
        </w:tc>
        <w:tc>
          <w:tcPr>
            <w:tcW w:w="1256" w:type="dxa"/>
            <w:vAlign w:val="center"/>
          </w:tcPr>
          <w:p w14:paraId="03724013" w14:textId="131B7BF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Method blank</w:t>
            </w:r>
          </w:p>
        </w:tc>
        <w:tc>
          <w:tcPr>
            <w:tcW w:w="1475" w:type="dxa"/>
            <w:gridSpan w:val="2"/>
            <w:vAlign w:val="center"/>
          </w:tcPr>
          <w:p w14:paraId="5110CD0D" w14:textId="4FFC9CE6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&lt; 0.1 mg/L or 10% </w:t>
            </w:r>
          </w:p>
        </w:tc>
        <w:tc>
          <w:tcPr>
            <w:tcW w:w="1508" w:type="dxa"/>
            <w:vAlign w:val="center"/>
          </w:tcPr>
          <w:p w14:paraId="0C9755C0" w14:textId="6882D7E1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 MRL (0.1 mg/L) or &lt;10% lowest sample</w:t>
            </w:r>
          </w:p>
        </w:tc>
        <w:tc>
          <w:tcPr>
            <w:tcW w:w="1144" w:type="dxa"/>
            <w:vAlign w:val="center"/>
          </w:tcPr>
          <w:p w14:paraId="24C15B0D" w14:textId="74A96FAA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Before each sample</w:t>
            </w:r>
          </w:p>
        </w:tc>
        <w:tc>
          <w:tcPr>
            <w:tcW w:w="1115" w:type="dxa"/>
            <w:vAlign w:val="center"/>
          </w:tcPr>
          <w:p w14:paraId="405151C9" w14:textId="6E4656BE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HACH-8146</w:t>
            </w:r>
          </w:p>
        </w:tc>
        <w:tc>
          <w:tcPr>
            <w:tcW w:w="1498" w:type="dxa"/>
            <w:vAlign w:val="center"/>
          </w:tcPr>
          <w:p w14:paraId="28CED352" w14:textId="179081E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HACH-1900</w:t>
            </w:r>
          </w:p>
        </w:tc>
      </w:tr>
      <w:tr w:rsidR="001F20D1" w:rsidRPr="00D0692F" w14:paraId="6488CA8C" w14:textId="77777777" w:rsidTr="00722439">
        <w:tc>
          <w:tcPr>
            <w:tcW w:w="1667" w:type="dxa"/>
            <w:tcBorders>
              <w:bottom w:val="single" w:sz="12" w:space="0" w:color="auto"/>
            </w:tcBorders>
            <w:vAlign w:val="center"/>
          </w:tcPr>
          <w:p w14:paraId="7FDD07FF" w14:textId="18ACB8A2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Sulfides (Liquid)</w:t>
            </w:r>
          </w:p>
        </w:tc>
        <w:tc>
          <w:tcPr>
            <w:tcW w:w="1256" w:type="dxa"/>
            <w:tcBorders>
              <w:bottom w:val="single" w:sz="12" w:space="0" w:color="auto"/>
            </w:tcBorders>
            <w:vAlign w:val="center"/>
          </w:tcPr>
          <w:p w14:paraId="5D88B639" w14:textId="70F78CE2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Method blank</w:t>
            </w:r>
          </w:p>
        </w:tc>
        <w:tc>
          <w:tcPr>
            <w:tcW w:w="1475" w:type="dxa"/>
            <w:gridSpan w:val="2"/>
            <w:tcBorders>
              <w:bottom w:val="single" w:sz="12" w:space="0" w:color="auto"/>
            </w:tcBorders>
            <w:vAlign w:val="center"/>
          </w:tcPr>
          <w:p w14:paraId="60C39AD2" w14:textId="7457072C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 0.1 mg/L or &lt;10%</w:t>
            </w:r>
          </w:p>
        </w:tc>
        <w:tc>
          <w:tcPr>
            <w:tcW w:w="1508" w:type="dxa"/>
            <w:tcBorders>
              <w:bottom w:val="single" w:sz="12" w:space="0" w:color="auto"/>
            </w:tcBorders>
            <w:vAlign w:val="center"/>
          </w:tcPr>
          <w:p w14:paraId="4B175CA1" w14:textId="1CD4FA4A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&lt; MRL (0.1 mg/L) or &lt;10% of paired sample</w:t>
            </w:r>
          </w:p>
        </w:tc>
        <w:tc>
          <w:tcPr>
            <w:tcW w:w="1144" w:type="dxa"/>
            <w:tcBorders>
              <w:bottom w:val="single" w:sz="12" w:space="0" w:color="auto"/>
            </w:tcBorders>
            <w:vAlign w:val="center"/>
          </w:tcPr>
          <w:p w14:paraId="5A496D5F" w14:textId="170AF409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Before each sample</w:t>
            </w:r>
          </w:p>
        </w:tc>
        <w:tc>
          <w:tcPr>
            <w:tcW w:w="1115" w:type="dxa"/>
            <w:tcBorders>
              <w:bottom w:val="single" w:sz="12" w:space="0" w:color="auto"/>
            </w:tcBorders>
            <w:vAlign w:val="center"/>
          </w:tcPr>
          <w:p w14:paraId="020C0FC3" w14:textId="77777777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K-HSMMD-SOP-2044</w:t>
            </w:r>
          </w:p>
        </w:tc>
        <w:tc>
          <w:tcPr>
            <w:tcW w:w="1517" w:type="dxa"/>
            <w:gridSpan w:val="2"/>
            <w:tcBorders>
              <w:bottom w:val="single" w:sz="12" w:space="0" w:color="auto"/>
            </w:tcBorders>
            <w:vAlign w:val="center"/>
          </w:tcPr>
          <w:p w14:paraId="4DF5AA08" w14:textId="713B9A5B" w:rsidR="00D0692F" w:rsidRPr="00D0692F" w:rsidRDefault="00D0692F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HACH-1900</w:t>
            </w:r>
          </w:p>
        </w:tc>
      </w:tr>
      <w:tr w:rsidR="00D53BED" w:rsidRPr="00D0692F" w14:paraId="654F1B70" w14:textId="77777777" w:rsidTr="001F20D1">
        <w:tc>
          <w:tcPr>
            <w:tcW w:w="9682" w:type="dxa"/>
            <w:gridSpan w:val="9"/>
            <w:vAlign w:val="center"/>
          </w:tcPr>
          <w:p w14:paraId="12FBEA10" w14:textId="2CB77894" w:rsidR="00D53BED" w:rsidRPr="00D0692F" w:rsidRDefault="00D53BED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X-Ray Absorption Spectroscopy</w:t>
            </w:r>
          </w:p>
        </w:tc>
      </w:tr>
      <w:tr w:rsidR="00760964" w:rsidRPr="00D0692F" w14:paraId="39A2BC40" w14:textId="77777777" w:rsidTr="00722439">
        <w:tc>
          <w:tcPr>
            <w:tcW w:w="1667" w:type="dxa"/>
            <w:tcBorders>
              <w:bottom w:val="single" w:sz="12" w:space="0" w:color="auto"/>
            </w:tcBorders>
            <w:vAlign w:val="center"/>
          </w:tcPr>
          <w:p w14:paraId="042D1C2A" w14:textId="1FE232B0" w:rsidR="00760964" w:rsidRPr="00D0692F" w:rsidRDefault="00760964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Speciation (Solid)</w:t>
            </w:r>
          </w:p>
        </w:tc>
        <w:tc>
          <w:tcPr>
            <w:tcW w:w="5383" w:type="dxa"/>
            <w:gridSpan w:val="5"/>
            <w:tcBorders>
              <w:bottom w:val="single" w:sz="12" w:space="0" w:color="auto"/>
            </w:tcBorders>
            <w:vAlign w:val="center"/>
          </w:tcPr>
          <w:p w14:paraId="2A364B36" w14:textId="08163666" w:rsidR="00760964" w:rsidRPr="00D0692F" w:rsidRDefault="00760964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Quality control objectives: Fluorescence counts &gt; 1 million, Correct calibration of energy beam.  For details on quality control/quality assurance, acceptance criteria and frequency please see Section 5.9 in Method Reference.</w:t>
            </w:r>
          </w:p>
        </w:tc>
        <w:tc>
          <w:tcPr>
            <w:tcW w:w="1115" w:type="dxa"/>
            <w:tcBorders>
              <w:bottom w:val="single" w:sz="12" w:space="0" w:color="auto"/>
            </w:tcBorders>
            <w:vAlign w:val="center"/>
          </w:tcPr>
          <w:p w14:paraId="7FF00F42" w14:textId="7A5CD6DA" w:rsidR="00760964" w:rsidRPr="00D0692F" w:rsidRDefault="00760964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K-LRTD-SOP-1200-0</w:t>
            </w:r>
          </w:p>
        </w:tc>
        <w:tc>
          <w:tcPr>
            <w:tcW w:w="1517" w:type="dxa"/>
            <w:gridSpan w:val="2"/>
            <w:tcBorders>
              <w:bottom w:val="single" w:sz="12" w:space="0" w:color="auto"/>
            </w:tcBorders>
            <w:vAlign w:val="center"/>
          </w:tcPr>
          <w:p w14:paraId="37866378" w14:textId="65496E6A" w:rsidR="00760964" w:rsidRPr="00D0692F" w:rsidRDefault="00760964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Synchrotron </w:t>
            </w:r>
          </w:p>
        </w:tc>
      </w:tr>
      <w:tr w:rsidR="00570307" w:rsidRPr="00D0692F" w14:paraId="6592E085" w14:textId="77777777" w:rsidTr="001F20D1">
        <w:tc>
          <w:tcPr>
            <w:tcW w:w="9682" w:type="dxa"/>
            <w:gridSpan w:val="9"/>
            <w:vAlign w:val="center"/>
          </w:tcPr>
          <w:p w14:paraId="5B40F20E" w14:textId="23B3DB33" w:rsidR="00570307" w:rsidRPr="00570307" w:rsidRDefault="00570307" w:rsidP="00AF786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70307">
              <w:rPr>
                <w:rFonts w:cstheme="minorHAnsi"/>
                <w:b/>
                <w:bCs/>
                <w:sz w:val="20"/>
                <w:szCs w:val="20"/>
              </w:rPr>
              <w:t>Redox potential (Eh) time series</w:t>
            </w:r>
          </w:p>
        </w:tc>
      </w:tr>
      <w:tr w:rsidR="001F20D1" w:rsidRPr="00D0692F" w14:paraId="2826434B" w14:textId="77777777" w:rsidTr="001F20D1">
        <w:tc>
          <w:tcPr>
            <w:tcW w:w="1667" w:type="dxa"/>
            <w:vMerge w:val="restart"/>
            <w:vAlign w:val="center"/>
          </w:tcPr>
          <w:p w14:paraId="29D313ED" w14:textId="4283B668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Redox potential (Eh)</w:t>
            </w:r>
          </w:p>
        </w:tc>
        <w:tc>
          <w:tcPr>
            <w:tcW w:w="1276" w:type="dxa"/>
            <w:gridSpan w:val="2"/>
            <w:vAlign w:val="center"/>
          </w:tcPr>
          <w:p w14:paraId="6C765F72" w14:textId="570E7C04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Sensor calibration check</w:t>
            </w:r>
          </w:p>
        </w:tc>
        <w:tc>
          <w:tcPr>
            <w:tcW w:w="1455" w:type="dxa"/>
            <w:vAlign w:val="center"/>
          </w:tcPr>
          <w:p w14:paraId="14388297" w14:textId="5D9E938F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 5 mV</w:t>
            </w:r>
          </w:p>
        </w:tc>
        <w:tc>
          <w:tcPr>
            <w:tcW w:w="1508" w:type="dxa"/>
            <w:vAlign w:val="center"/>
          </w:tcPr>
          <w:p w14:paraId="56F69D2A" w14:textId="34219D31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Difference between reference electrodes used in two treatments when placed in buffered solution</w:t>
            </w:r>
          </w:p>
        </w:tc>
        <w:tc>
          <w:tcPr>
            <w:tcW w:w="1144" w:type="dxa"/>
            <w:vAlign w:val="center"/>
          </w:tcPr>
          <w:p w14:paraId="21B032CE" w14:textId="5448E9E9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Beginning of analysis </w:t>
            </w:r>
          </w:p>
        </w:tc>
        <w:tc>
          <w:tcPr>
            <w:tcW w:w="1115" w:type="dxa"/>
            <w:vMerge w:val="restart"/>
            <w:vAlign w:val="center"/>
          </w:tcPr>
          <w:p w14:paraId="7F99DC27" w14:textId="47FB9844" w:rsidR="001F20D1" w:rsidRPr="00722439" w:rsidRDefault="00722439" w:rsidP="00AF7869">
            <w:pPr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See footnote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4C9FC3C5" w14:textId="1A0D3FCF" w:rsidR="001F20D1" w:rsidRPr="00722439" w:rsidRDefault="001F20D1" w:rsidP="00AF7869">
            <w:pPr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SWP/ORP-10-1-C, SWP/REF-12-0-A, SWP/TMP-10-1-C</w:t>
            </w:r>
            <w:r w:rsidR="00722439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1F20D1" w:rsidRPr="00D0692F" w14:paraId="198BB5AC" w14:textId="77777777" w:rsidTr="001F20D1">
        <w:tc>
          <w:tcPr>
            <w:tcW w:w="1667" w:type="dxa"/>
            <w:vMerge/>
            <w:vAlign w:val="center"/>
          </w:tcPr>
          <w:p w14:paraId="4FEC272B" w14:textId="77777777" w:rsidR="001F20D1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A76EE5" w14:textId="6E2CE090" w:rsidR="001F20D1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Calibration check</w:t>
            </w:r>
          </w:p>
        </w:tc>
        <w:tc>
          <w:tcPr>
            <w:tcW w:w="1455" w:type="dxa"/>
            <w:vAlign w:val="center"/>
          </w:tcPr>
          <w:p w14:paraId="7F560B99" w14:textId="3807770A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&lt; 5 mV difference between sensors, &lt; +/- 10 mV from calibration value</w:t>
            </w:r>
          </w:p>
        </w:tc>
        <w:tc>
          <w:tcPr>
            <w:tcW w:w="1508" w:type="dxa"/>
            <w:vAlign w:val="center"/>
          </w:tcPr>
          <w:p w14:paraId="2307E691" w14:textId="57E257AD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 xml:space="preserve">Calibration with </w:t>
            </w:r>
            <w:r>
              <w:rPr>
                <w:rFonts w:cstheme="minorHAnsi"/>
                <w:sz w:val="20"/>
                <w:szCs w:val="20"/>
              </w:rPr>
              <w:t xml:space="preserve">Tape water, </w:t>
            </w:r>
            <w:proofErr w:type="spellStart"/>
            <w:r w:rsidRPr="00D0692F">
              <w:rPr>
                <w:rFonts w:cstheme="minorHAnsi"/>
                <w:sz w:val="20"/>
                <w:szCs w:val="20"/>
              </w:rPr>
              <w:t>Zobell</w:t>
            </w:r>
            <w:proofErr w:type="spellEnd"/>
            <w:r w:rsidRPr="00D0692F">
              <w:rPr>
                <w:rFonts w:cstheme="minorHAnsi"/>
                <w:sz w:val="20"/>
                <w:szCs w:val="20"/>
              </w:rPr>
              <w:t xml:space="preserve"> solution</w:t>
            </w:r>
            <w:r>
              <w:rPr>
                <w:rFonts w:cstheme="minorHAnsi"/>
                <w:sz w:val="20"/>
                <w:szCs w:val="20"/>
              </w:rPr>
              <w:t>, and Orion ORP relative to Ag/AgCl redox couple</w:t>
            </w:r>
          </w:p>
        </w:tc>
        <w:tc>
          <w:tcPr>
            <w:tcW w:w="1144" w:type="dxa"/>
            <w:vAlign w:val="center"/>
          </w:tcPr>
          <w:p w14:paraId="0125176E" w14:textId="52AE0172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Beginning of analysis</w:t>
            </w:r>
          </w:p>
        </w:tc>
        <w:tc>
          <w:tcPr>
            <w:tcW w:w="1115" w:type="dxa"/>
            <w:vMerge/>
            <w:vAlign w:val="center"/>
          </w:tcPr>
          <w:p w14:paraId="070086C5" w14:textId="77777777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3A3EE2B3" w14:textId="77777777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3B3E2510" w14:textId="77777777" w:rsidTr="001F20D1">
        <w:tc>
          <w:tcPr>
            <w:tcW w:w="1667" w:type="dxa"/>
            <w:vAlign w:val="center"/>
          </w:tcPr>
          <w:p w14:paraId="12AC7F5B" w14:textId="560023C2" w:rsidR="001F20D1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Redox potential (Eh) (cont.)</w:t>
            </w:r>
          </w:p>
        </w:tc>
        <w:tc>
          <w:tcPr>
            <w:tcW w:w="1276" w:type="dxa"/>
            <w:gridSpan w:val="2"/>
            <w:vAlign w:val="center"/>
          </w:tcPr>
          <w:p w14:paraId="7E9E7543" w14:textId="5E68B1ED" w:rsidR="001F20D1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Instrument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mainten-ance</w:t>
            </w:r>
            <w:proofErr w:type="spellEnd"/>
          </w:p>
        </w:tc>
        <w:tc>
          <w:tcPr>
            <w:tcW w:w="1455" w:type="dxa"/>
            <w:vAlign w:val="center"/>
          </w:tcPr>
          <w:p w14:paraId="200575D1" w14:textId="087CC7BE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Full </w:t>
            </w:r>
          </w:p>
        </w:tc>
        <w:tc>
          <w:tcPr>
            <w:tcW w:w="1508" w:type="dxa"/>
            <w:vAlign w:val="center"/>
          </w:tcPr>
          <w:p w14:paraId="0C858AC0" w14:textId="055B9FF7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Replenishment of 3M </w:t>
            </w:r>
            <w:proofErr w:type="spellStart"/>
            <w:r>
              <w:rPr>
                <w:rFonts w:cstheme="minorHAnsi"/>
                <w:sz w:val="20"/>
                <w:szCs w:val="20"/>
              </w:rPr>
              <w:t>KCl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gel</w:t>
            </w:r>
          </w:p>
        </w:tc>
        <w:tc>
          <w:tcPr>
            <w:tcW w:w="1144" w:type="dxa"/>
            <w:vAlign w:val="center"/>
          </w:tcPr>
          <w:p w14:paraId="7A28A796" w14:textId="4332FFFF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 least every 6 months to 1 year, or upon </w:t>
            </w:r>
            <w:r>
              <w:rPr>
                <w:rFonts w:cstheme="minorHAnsi"/>
                <w:sz w:val="20"/>
                <w:szCs w:val="20"/>
              </w:rPr>
              <w:lastRenderedPageBreak/>
              <w:t>depletion of solution</w:t>
            </w:r>
          </w:p>
        </w:tc>
        <w:tc>
          <w:tcPr>
            <w:tcW w:w="1115" w:type="dxa"/>
            <w:vMerge/>
            <w:vAlign w:val="center"/>
          </w:tcPr>
          <w:p w14:paraId="04B21C68" w14:textId="77777777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3FF87F73" w14:textId="77777777" w:rsidR="001F20D1" w:rsidRPr="00D0692F" w:rsidRDefault="001F20D1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F7869" w:rsidRPr="00D0692F" w14:paraId="07EE1F0B" w14:textId="77777777" w:rsidTr="00722439">
        <w:tc>
          <w:tcPr>
            <w:tcW w:w="9682" w:type="dxa"/>
            <w:gridSpan w:val="9"/>
            <w:tcBorders>
              <w:top w:val="single" w:sz="12" w:space="0" w:color="auto"/>
            </w:tcBorders>
            <w:vAlign w:val="center"/>
          </w:tcPr>
          <w:p w14:paraId="62B9AB51" w14:textId="0FEE8E74" w:rsidR="00AF7869" w:rsidRPr="00D0692F" w:rsidRDefault="00AF7869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b/>
                <w:bCs/>
                <w:sz w:val="20"/>
                <w:szCs w:val="20"/>
              </w:rPr>
              <w:t>Dissolved Organic Carbon</w:t>
            </w:r>
            <w:r w:rsidR="00855884" w:rsidRPr="00D0692F">
              <w:rPr>
                <w:rFonts w:cstheme="minorHAnsi"/>
                <w:b/>
                <w:bCs/>
                <w:sz w:val="20"/>
                <w:szCs w:val="20"/>
              </w:rPr>
              <w:t xml:space="preserve"> / UV-Vis</w:t>
            </w:r>
          </w:p>
        </w:tc>
      </w:tr>
      <w:tr w:rsidR="001F20D1" w:rsidRPr="00D0692F" w14:paraId="5D63AE0A" w14:textId="77777777" w:rsidTr="001F20D1">
        <w:tc>
          <w:tcPr>
            <w:tcW w:w="1667" w:type="dxa"/>
            <w:vMerge w:val="restart"/>
            <w:vAlign w:val="center"/>
          </w:tcPr>
          <w:p w14:paraId="630EE579" w14:textId="7EF0000E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Determination of Non-Purgeable Organic Carbon in Water by Shimadzu TOC-VCPH, High Temperature TOC Analyzer (TOC)</w:t>
            </w:r>
          </w:p>
        </w:tc>
        <w:tc>
          <w:tcPr>
            <w:tcW w:w="1256" w:type="dxa"/>
            <w:vAlign w:val="center"/>
          </w:tcPr>
          <w:p w14:paraId="4D862FA5" w14:textId="583F0A00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Post calibration accuracy check</w:t>
            </w:r>
          </w:p>
        </w:tc>
        <w:tc>
          <w:tcPr>
            <w:tcW w:w="1475" w:type="dxa"/>
            <w:gridSpan w:val="2"/>
            <w:vAlign w:val="center"/>
          </w:tcPr>
          <w:p w14:paraId="2FDE9ADE" w14:textId="056F9804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90-110%</w:t>
            </w:r>
          </w:p>
        </w:tc>
        <w:tc>
          <w:tcPr>
            <w:tcW w:w="1508" w:type="dxa"/>
            <w:vAlign w:val="center"/>
          </w:tcPr>
          <w:p w14:paraId="09E80CE5" w14:textId="2BCFFDBD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Recovery of secondary source calibration check prior to analyzing samples</w:t>
            </w:r>
          </w:p>
        </w:tc>
        <w:tc>
          <w:tcPr>
            <w:tcW w:w="1144" w:type="dxa"/>
            <w:vAlign w:val="center"/>
          </w:tcPr>
          <w:p w14:paraId="2643634B" w14:textId="789F0A92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Analysis initiation</w:t>
            </w:r>
          </w:p>
        </w:tc>
        <w:tc>
          <w:tcPr>
            <w:tcW w:w="1115" w:type="dxa"/>
            <w:vAlign w:val="center"/>
          </w:tcPr>
          <w:p w14:paraId="0244ED45" w14:textId="08656B0B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Method 415.3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294F2C4F" w14:textId="5D3AEC3C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Shimadzu TOC-VCPH analyzer with standard sensitivity catalyst/ Shimadzu 2700 UV/Vis Spectrometer</w:t>
            </w:r>
          </w:p>
        </w:tc>
      </w:tr>
      <w:tr w:rsidR="001F20D1" w:rsidRPr="00D0692F" w14:paraId="44F72CBF" w14:textId="77777777" w:rsidTr="001F20D1">
        <w:tc>
          <w:tcPr>
            <w:tcW w:w="1667" w:type="dxa"/>
            <w:vMerge/>
            <w:vAlign w:val="center"/>
          </w:tcPr>
          <w:p w14:paraId="22A5C3DD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4C57C4A2" w14:textId="5DD7C3DE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Accuracy check</w:t>
            </w:r>
          </w:p>
        </w:tc>
        <w:tc>
          <w:tcPr>
            <w:tcW w:w="1475" w:type="dxa"/>
            <w:gridSpan w:val="2"/>
            <w:vAlign w:val="center"/>
          </w:tcPr>
          <w:p w14:paraId="5E1F6267" w14:textId="39820A51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90-110%</w:t>
            </w:r>
          </w:p>
        </w:tc>
        <w:tc>
          <w:tcPr>
            <w:tcW w:w="1508" w:type="dxa"/>
            <w:vAlign w:val="center"/>
          </w:tcPr>
          <w:p w14:paraId="750EE44E" w14:textId="4CD2AA21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Percent recovery of known concentration of DOC</w:t>
            </w:r>
          </w:p>
        </w:tc>
        <w:tc>
          <w:tcPr>
            <w:tcW w:w="1144" w:type="dxa"/>
            <w:vAlign w:val="center"/>
          </w:tcPr>
          <w:p w14:paraId="57596AD6" w14:textId="48D5929F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Every 15 samples or once per analytical batch</w:t>
            </w:r>
          </w:p>
        </w:tc>
        <w:tc>
          <w:tcPr>
            <w:tcW w:w="1115" w:type="dxa"/>
            <w:vAlign w:val="center"/>
          </w:tcPr>
          <w:p w14:paraId="1C64802A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56959EBA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20D1" w:rsidRPr="00D0692F" w14:paraId="44D735B4" w14:textId="77777777" w:rsidTr="001F20D1">
        <w:tc>
          <w:tcPr>
            <w:tcW w:w="1667" w:type="dxa"/>
            <w:vMerge/>
            <w:vAlign w:val="center"/>
          </w:tcPr>
          <w:p w14:paraId="5EF416F3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55213E4B" w14:textId="4466C769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Precision check duplicates</w:t>
            </w:r>
          </w:p>
        </w:tc>
        <w:tc>
          <w:tcPr>
            <w:tcW w:w="1475" w:type="dxa"/>
            <w:gridSpan w:val="2"/>
            <w:vAlign w:val="center"/>
          </w:tcPr>
          <w:p w14:paraId="775FB12A" w14:textId="35FCE555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15%</w:t>
            </w:r>
          </w:p>
        </w:tc>
        <w:tc>
          <w:tcPr>
            <w:tcW w:w="1508" w:type="dxa"/>
            <w:vAlign w:val="center"/>
          </w:tcPr>
          <w:p w14:paraId="2D1C8402" w14:textId="41F6ADB8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Relative percent difference between duplicated sample analyses</w:t>
            </w:r>
          </w:p>
        </w:tc>
        <w:tc>
          <w:tcPr>
            <w:tcW w:w="1144" w:type="dxa"/>
            <w:vAlign w:val="center"/>
          </w:tcPr>
          <w:p w14:paraId="3A00FBFF" w14:textId="2F733C65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692F">
              <w:rPr>
                <w:rFonts w:cstheme="minorHAnsi"/>
                <w:sz w:val="20"/>
                <w:szCs w:val="20"/>
              </w:rPr>
              <w:t>10% of samples or once per analytical batch</w:t>
            </w:r>
          </w:p>
        </w:tc>
        <w:tc>
          <w:tcPr>
            <w:tcW w:w="1115" w:type="dxa"/>
            <w:vAlign w:val="center"/>
          </w:tcPr>
          <w:p w14:paraId="52D0331D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1845B255" w14:textId="77777777" w:rsidR="00F31CEA" w:rsidRPr="00D0692F" w:rsidRDefault="00F31CEA" w:rsidP="00AF78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74357DA" w14:textId="4581D871" w:rsidR="00D0692F" w:rsidRPr="00604C88" w:rsidRDefault="00722439" w:rsidP="00B77470">
      <w:pPr>
        <w:pStyle w:val="Default"/>
      </w:pPr>
      <w:r>
        <w:rPr>
          <w:vertAlign w:val="superscript"/>
        </w:rPr>
        <w:t xml:space="preserve">1 </w:t>
      </w:r>
      <w:r w:rsidR="00604C88" w:rsidRPr="00604C88">
        <w:rPr>
          <w:sz w:val="20"/>
          <w:szCs w:val="20"/>
        </w:rPr>
        <w:t xml:space="preserve">SWAP Instruments (2024) Manual for SWAP soil Redox probes. Version: 2024-V3. SWAP Instruments B.V., Netherlands, 37 pages. </w:t>
      </w:r>
      <w:hyperlink r:id="rId7" w:history="1">
        <w:r w:rsidR="00604C88" w:rsidRPr="00604C88">
          <w:rPr>
            <w:rStyle w:val="Hyperlink"/>
            <w:sz w:val="20"/>
            <w:szCs w:val="20"/>
          </w:rPr>
          <w:t>www.swapinstruments.com</w:t>
        </w:r>
      </w:hyperlink>
      <w:r w:rsidR="00604C88">
        <w:t xml:space="preserve"> </w:t>
      </w:r>
    </w:p>
    <w:p w14:paraId="6EB68549" w14:textId="676F88D5" w:rsidR="00722439" w:rsidRPr="00604C88" w:rsidRDefault="00722439" w:rsidP="00B77470">
      <w:pPr>
        <w:pStyle w:val="Default"/>
      </w:pPr>
      <w:r>
        <w:rPr>
          <w:vertAlign w:val="superscript"/>
        </w:rPr>
        <w:t>2</w:t>
      </w:r>
      <w:r w:rsidR="00604C88">
        <w:rPr>
          <w:vertAlign w:val="superscript"/>
        </w:rPr>
        <w:t xml:space="preserve"> </w:t>
      </w:r>
      <w:r w:rsidR="00604C88" w:rsidRPr="00604C88">
        <w:rPr>
          <w:sz w:val="20"/>
          <w:szCs w:val="20"/>
        </w:rPr>
        <w:t xml:space="preserve">Sensor model numbers from </w:t>
      </w:r>
      <w:hyperlink r:id="rId8" w:history="1">
        <w:r w:rsidR="00604C88" w:rsidRPr="00604C88">
          <w:rPr>
            <w:rStyle w:val="Hyperlink"/>
            <w:sz w:val="20"/>
            <w:szCs w:val="20"/>
          </w:rPr>
          <w:t>www.swapinstruments.com</w:t>
        </w:r>
      </w:hyperlink>
      <w:r w:rsidR="00604C88">
        <w:t xml:space="preserve">  </w:t>
      </w:r>
    </w:p>
    <w:p w14:paraId="380AC1F0" w14:textId="77777777" w:rsidR="00722439" w:rsidRPr="00D0692F" w:rsidRDefault="00722439" w:rsidP="00B77470">
      <w:pPr>
        <w:pStyle w:val="Default"/>
      </w:pPr>
    </w:p>
    <w:p w14:paraId="613F53A6" w14:textId="3755C19C" w:rsidR="00B77470" w:rsidRDefault="00B77470" w:rsidP="005C0A48">
      <w:pPr>
        <w:pStyle w:val="Heading2"/>
      </w:pPr>
      <w:r>
        <w:t xml:space="preserve">3. Data Qualifiers </w:t>
      </w:r>
    </w:p>
    <w:p w14:paraId="516B85A8" w14:textId="170BE579" w:rsidR="00604C88" w:rsidRPr="00074A16" w:rsidRDefault="00B77470" w:rsidP="00074A16">
      <w:r w:rsidRPr="00B00CE9">
        <w:rPr>
          <w:rFonts w:ascii="Times New Roman" w:hAnsi="Times New Roman" w:cs="Times New Roman"/>
          <w:sz w:val="23"/>
          <w:szCs w:val="23"/>
        </w:rPr>
        <w:t xml:space="preserve">Data for all samples were assessed for compliance following the QA/QC parameters outlined above. If data did not meet specific requirements set forth by the </w:t>
      </w:r>
      <w:r w:rsidR="003D7880" w:rsidRPr="00B00CE9">
        <w:rPr>
          <w:rFonts w:ascii="Times New Roman" w:hAnsi="Times New Roman" w:cs="Times New Roman"/>
          <w:sz w:val="23"/>
          <w:szCs w:val="23"/>
        </w:rPr>
        <w:t>QAPP then data</w:t>
      </w:r>
      <w:r w:rsidRPr="00B00CE9">
        <w:rPr>
          <w:rFonts w:ascii="Times New Roman" w:hAnsi="Times New Roman" w:cs="Times New Roman"/>
          <w:sz w:val="23"/>
          <w:szCs w:val="23"/>
        </w:rPr>
        <w:t xml:space="preserve"> qualifiers were assigned. In the cases data qualifiers were assigned, the sample was re-analyzed. </w:t>
      </w:r>
      <w:r w:rsidR="003D7880" w:rsidRPr="00B00CE9">
        <w:rPr>
          <w:rFonts w:ascii="Times New Roman" w:hAnsi="Times New Roman" w:cs="Times New Roman"/>
          <w:sz w:val="23"/>
          <w:szCs w:val="23"/>
        </w:rPr>
        <w:t xml:space="preserve">At this point all QA/QC parameters in the provided data set </w:t>
      </w:r>
      <w:r w:rsidR="00275C84">
        <w:rPr>
          <w:rFonts w:ascii="Times New Roman" w:hAnsi="Times New Roman" w:cs="Times New Roman"/>
          <w:sz w:val="23"/>
          <w:szCs w:val="23"/>
        </w:rPr>
        <w:t>are</w:t>
      </w:r>
      <w:r w:rsidR="003D7880" w:rsidRPr="00B00CE9">
        <w:rPr>
          <w:rFonts w:ascii="Times New Roman" w:hAnsi="Times New Roman" w:cs="Times New Roman"/>
          <w:sz w:val="23"/>
          <w:szCs w:val="23"/>
        </w:rPr>
        <w:t xml:space="preserve"> in compliance.  </w:t>
      </w:r>
      <w:r w:rsidR="00604C88">
        <w:rPr>
          <w:rFonts w:ascii="Times New Roman" w:hAnsi="Times New Roman" w:cs="Times New Roman"/>
          <w:sz w:val="23"/>
          <w:szCs w:val="23"/>
        </w:rPr>
        <w:t>Elements that were</w:t>
      </w:r>
      <w:r w:rsidR="003D7880" w:rsidRPr="00B00CE9">
        <w:rPr>
          <w:rFonts w:ascii="Times New Roman" w:hAnsi="Times New Roman" w:cs="Times New Roman"/>
          <w:sz w:val="23"/>
          <w:szCs w:val="23"/>
        </w:rPr>
        <w:t xml:space="preserve"> below the detection limit are </w:t>
      </w:r>
      <w:r w:rsidR="00604C88">
        <w:rPr>
          <w:rFonts w:ascii="Times New Roman" w:hAnsi="Times New Roman" w:cs="Times New Roman"/>
          <w:sz w:val="23"/>
          <w:szCs w:val="23"/>
        </w:rPr>
        <w:t xml:space="preserve">left blank in the attached spreadsheets.  </w:t>
      </w:r>
    </w:p>
    <w:sectPr w:rsidR="00604C88" w:rsidRPr="00074A1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C8E3" w14:textId="77777777" w:rsidR="00B34918" w:rsidRDefault="00B34918" w:rsidP="00B34918">
      <w:pPr>
        <w:spacing w:after="0" w:line="240" w:lineRule="auto"/>
      </w:pPr>
      <w:r>
        <w:separator/>
      </w:r>
    </w:p>
  </w:endnote>
  <w:endnote w:type="continuationSeparator" w:id="0">
    <w:p w14:paraId="68AE26E2" w14:textId="77777777" w:rsidR="00B34918" w:rsidRDefault="00B34918" w:rsidP="00B3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458AC" w14:textId="77777777" w:rsidR="00B34918" w:rsidRDefault="00B34918" w:rsidP="00B34918">
      <w:pPr>
        <w:spacing w:after="0" w:line="240" w:lineRule="auto"/>
      </w:pPr>
      <w:r>
        <w:separator/>
      </w:r>
    </w:p>
  </w:footnote>
  <w:footnote w:type="continuationSeparator" w:id="0">
    <w:p w14:paraId="3B761BC5" w14:textId="77777777" w:rsidR="00B34918" w:rsidRDefault="00B34918" w:rsidP="00B34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67D2" w14:textId="32D26049" w:rsidR="00B34918" w:rsidRPr="00B34918" w:rsidRDefault="00B34918" w:rsidP="00B3491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B34918">
      <w:rPr>
        <w:rFonts w:ascii="Times New Roman" w:hAnsi="Times New Roman" w:cs="Times New Roman"/>
        <w:sz w:val="28"/>
        <w:szCs w:val="28"/>
      </w:rPr>
      <w:t>Office of Research and Development</w:t>
    </w:r>
  </w:p>
  <w:p w14:paraId="3969A3AB" w14:textId="3819049A" w:rsidR="00B34918" w:rsidRPr="00B34918" w:rsidRDefault="00B34918" w:rsidP="00B3491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B34918">
      <w:rPr>
        <w:rFonts w:ascii="Times New Roman" w:hAnsi="Times New Roman" w:cs="Times New Roman"/>
        <w:sz w:val="28"/>
        <w:szCs w:val="28"/>
      </w:rPr>
      <w:t>Center for Environmental Solution and Emergency Response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B0"/>
    <w:rsid w:val="0001499C"/>
    <w:rsid w:val="0001599A"/>
    <w:rsid w:val="00074A16"/>
    <w:rsid w:val="001A6FCA"/>
    <w:rsid w:val="001F20D1"/>
    <w:rsid w:val="001F27D8"/>
    <w:rsid w:val="002061D9"/>
    <w:rsid w:val="002320F5"/>
    <w:rsid w:val="00275C84"/>
    <w:rsid w:val="002B1053"/>
    <w:rsid w:val="002B42CE"/>
    <w:rsid w:val="002B7195"/>
    <w:rsid w:val="002C3A62"/>
    <w:rsid w:val="002F2A29"/>
    <w:rsid w:val="0032196A"/>
    <w:rsid w:val="003D7880"/>
    <w:rsid w:val="003E5823"/>
    <w:rsid w:val="00406711"/>
    <w:rsid w:val="00426AB7"/>
    <w:rsid w:val="00570307"/>
    <w:rsid w:val="005C0A48"/>
    <w:rsid w:val="00604C88"/>
    <w:rsid w:val="006A2170"/>
    <w:rsid w:val="006C1DCF"/>
    <w:rsid w:val="00722439"/>
    <w:rsid w:val="00723235"/>
    <w:rsid w:val="00760964"/>
    <w:rsid w:val="007A1A98"/>
    <w:rsid w:val="00811D17"/>
    <w:rsid w:val="0085415B"/>
    <w:rsid w:val="00855884"/>
    <w:rsid w:val="00897E23"/>
    <w:rsid w:val="008A2109"/>
    <w:rsid w:val="008C319F"/>
    <w:rsid w:val="00921991"/>
    <w:rsid w:val="00926167"/>
    <w:rsid w:val="009A6620"/>
    <w:rsid w:val="009C55FB"/>
    <w:rsid w:val="009C57C8"/>
    <w:rsid w:val="00A0113A"/>
    <w:rsid w:val="00A37DB0"/>
    <w:rsid w:val="00AE6D1B"/>
    <w:rsid w:val="00AF7869"/>
    <w:rsid w:val="00B00CE9"/>
    <w:rsid w:val="00B069AE"/>
    <w:rsid w:val="00B13891"/>
    <w:rsid w:val="00B34918"/>
    <w:rsid w:val="00B34A30"/>
    <w:rsid w:val="00B77470"/>
    <w:rsid w:val="00B965C5"/>
    <w:rsid w:val="00BE3D1D"/>
    <w:rsid w:val="00C91F55"/>
    <w:rsid w:val="00CA6E3E"/>
    <w:rsid w:val="00CB1338"/>
    <w:rsid w:val="00D0692F"/>
    <w:rsid w:val="00D47AA1"/>
    <w:rsid w:val="00D53BED"/>
    <w:rsid w:val="00D74632"/>
    <w:rsid w:val="00DA2C44"/>
    <w:rsid w:val="00DC5978"/>
    <w:rsid w:val="00E24346"/>
    <w:rsid w:val="00F201FA"/>
    <w:rsid w:val="00F31CEA"/>
    <w:rsid w:val="00F5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73EC4"/>
  <w15:chartTrackingRefBased/>
  <w15:docId w15:val="{81E6E239-3FF9-45A9-8F96-3073D8F0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A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0A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0A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7D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C0A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0A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0A4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0A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A4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C0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1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1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11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13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4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918"/>
  </w:style>
  <w:style w:type="paragraph" w:styleId="Footer">
    <w:name w:val="footer"/>
    <w:basedOn w:val="Normal"/>
    <w:link w:val="FooterChar"/>
    <w:uiPriority w:val="99"/>
    <w:unhideWhenUsed/>
    <w:rsid w:val="00B34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918"/>
  </w:style>
  <w:style w:type="character" w:customStyle="1" w:styleId="normaltextrun">
    <w:name w:val="normaltextrun"/>
    <w:basedOn w:val="DefaultParagraphFont"/>
    <w:rsid w:val="00D47AA1"/>
  </w:style>
  <w:style w:type="paragraph" w:styleId="NormalWeb">
    <w:name w:val="Normal (Web)"/>
    <w:basedOn w:val="Normal"/>
    <w:uiPriority w:val="99"/>
    <w:unhideWhenUsed/>
    <w:rsid w:val="00074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apinstrument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wapinstrument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Millard, Geoffrey</dc:creator>
  <cp:keywords/>
  <dc:description/>
  <cp:lastModifiedBy>Wade, Anna</cp:lastModifiedBy>
  <cp:revision>10</cp:revision>
  <dcterms:created xsi:type="dcterms:W3CDTF">2025-04-16T14:48:00Z</dcterms:created>
  <dcterms:modified xsi:type="dcterms:W3CDTF">2025-04-18T17:38:00Z</dcterms:modified>
</cp:coreProperties>
</file>